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7E71A4A">
      <w:pPr>
        <w:keepNext w:val="0"/>
        <w:keepLines w:val="0"/>
        <w:pageBreakBefore w:val="0"/>
        <w:kinsoku/>
        <w:wordWrap w:val="0"/>
        <w:overflowPunct/>
        <w:topLinePunct w:val="0"/>
        <w:autoSpaceDE/>
        <w:autoSpaceDN/>
        <w:bidi w:val="0"/>
        <w:adjustRightInd/>
        <w:snapToGrid/>
        <w:spacing w:line="560" w:lineRule="exact"/>
        <w:textAlignment w:val="auto"/>
        <w:rPr>
          <w:rFonts w:hint="eastAsia" w:ascii="黑体" w:hAnsi="黑体" w:eastAsia="黑体" w:cs="黑体"/>
          <w:bCs/>
          <w:color w:val="000000"/>
          <w:sz w:val="32"/>
          <w:szCs w:val="32"/>
          <w:lang w:val="en-US" w:eastAsia="zh-CN"/>
        </w:rPr>
      </w:pPr>
      <w:r>
        <w:rPr>
          <w:rFonts w:hint="eastAsia" w:ascii="黑体" w:hAnsi="黑体" w:eastAsia="黑体" w:cs="黑体"/>
          <w:bCs/>
          <w:color w:val="000000"/>
          <w:sz w:val="32"/>
          <w:szCs w:val="32"/>
        </w:rPr>
        <w:t>附件</w:t>
      </w:r>
      <w:r>
        <w:rPr>
          <w:rFonts w:hint="eastAsia" w:ascii="黑体" w:hAnsi="黑体" w:eastAsia="黑体" w:cs="黑体"/>
          <w:bCs/>
          <w:color w:val="000000"/>
          <w:sz w:val="32"/>
          <w:szCs w:val="32"/>
          <w:lang w:val="en-US" w:eastAsia="zh-CN"/>
        </w:rPr>
        <w:t>2</w:t>
      </w:r>
    </w:p>
    <w:p w14:paraId="36D224E5">
      <w:pPr>
        <w:pStyle w:val="2"/>
        <w:rPr>
          <w:rFonts w:hint="eastAsia"/>
          <w:lang w:eastAsia="zh-CN"/>
        </w:rPr>
      </w:pPr>
    </w:p>
    <w:p w14:paraId="1D0C38A0">
      <w:pPr>
        <w:keepNext w:val="0"/>
        <w:keepLines w:val="0"/>
        <w:pageBreakBefore w:val="0"/>
        <w:kinsoku/>
        <w:wordWrap w:val="0"/>
        <w:overflowPunct/>
        <w:topLinePunct w:val="0"/>
        <w:autoSpaceDE/>
        <w:autoSpaceDN/>
        <w:bidi w:val="0"/>
        <w:adjustRightInd/>
        <w:snapToGrid/>
        <w:spacing w:line="560" w:lineRule="exact"/>
        <w:jc w:val="center"/>
        <w:textAlignment w:val="auto"/>
        <w:rPr>
          <w:rFonts w:ascii="方正小标宋简体" w:hAnsi="方正小标宋简体" w:eastAsia="方正小标宋简体" w:cs="方正小标宋简体"/>
          <w:bCs/>
          <w:color w:val="000000"/>
          <w:sz w:val="44"/>
          <w:szCs w:val="44"/>
        </w:rPr>
      </w:pPr>
      <w:r>
        <w:rPr>
          <w:rFonts w:hint="eastAsia" w:ascii="方正小标宋简体" w:hAnsi="方正小标宋简体" w:eastAsia="方正小标宋简体" w:cs="方正小标宋简体"/>
          <w:bCs/>
          <w:color w:val="000000"/>
          <w:sz w:val="44"/>
          <w:szCs w:val="44"/>
        </w:rPr>
        <w:t>北京市</w:t>
      </w:r>
      <w:bookmarkStart w:id="0" w:name="_GoBack"/>
      <w:bookmarkEnd w:id="0"/>
      <w:r>
        <w:rPr>
          <w:rFonts w:hint="eastAsia" w:ascii="方正小标宋简体" w:hAnsi="方正小标宋简体" w:eastAsia="方正小标宋简体" w:cs="方正小标宋简体"/>
          <w:bCs/>
          <w:color w:val="000000"/>
          <w:sz w:val="44"/>
          <w:szCs w:val="44"/>
        </w:rPr>
        <w:t>创新型中小企业评价标准</w:t>
      </w:r>
    </w:p>
    <w:p w14:paraId="4337A401">
      <w:pPr>
        <w:keepNext w:val="0"/>
        <w:keepLines w:val="0"/>
        <w:pageBreakBefore w:val="0"/>
        <w:kinsoku/>
        <w:wordWrap w:val="0"/>
        <w:overflowPunct/>
        <w:topLinePunct w:val="0"/>
        <w:autoSpaceDE/>
        <w:autoSpaceDN/>
        <w:bidi w:val="0"/>
        <w:adjustRightInd/>
        <w:snapToGrid/>
        <w:spacing w:line="560" w:lineRule="exact"/>
        <w:textAlignment w:val="auto"/>
        <w:rPr>
          <w:rFonts w:ascii="仿宋_GB2312" w:hAnsi="仿宋_GB2312" w:eastAsia="仿宋_GB2312" w:cs="仿宋_GB2312"/>
          <w:sz w:val="32"/>
          <w:szCs w:val="32"/>
        </w:rPr>
      </w:pPr>
    </w:p>
    <w:p w14:paraId="21449C58">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ascii="黑体" w:hAnsi="黑体" w:eastAsia="黑体" w:cs="黑体"/>
          <w:bCs/>
          <w:color w:val="000000"/>
          <w:sz w:val="32"/>
          <w:szCs w:val="32"/>
          <w:lang w:val="en"/>
        </w:rPr>
      </w:pPr>
      <w:r>
        <w:rPr>
          <w:rFonts w:hint="eastAsia" w:ascii="黑体" w:hAnsi="黑体" w:eastAsia="黑体" w:cs="黑体"/>
          <w:bCs/>
          <w:color w:val="000000"/>
          <w:sz w:val="32"/>
          <w:szCs w:val="32"/>
          <w:lang w:val="en"/>
        </w:rPr>
        <w:t>一、公告条件</w:t>
      </w:r>
    </w:p>
    <w:p w14:paraId="251B000E">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bCs/>
          <w:color w:val="000000"/>
          <w:sz w:val="32"/>
          <w:szCs w:val="32"/>
          <w:lang w:val="en"/>
        </w:rPr>
      </w:pPr>
      <w:r>
        <w:rPr>
          <w:rFonts w:hint="eastAsia" w:ascii="仿宋_GB2312" w:hAnsi="仿宋_GB2312" w:eastAsia="仿宋_GB2312" w:cs="仿宋_GB2312"/>
          <w:bCs/>
          <w:color w:val="000000"/>
          <w:sz w:val="32"/>
          <w:szCs w:val="32"/>
          <w:lang w:val="en"/>
        </w:rPr>
        <w:t>评价得分达到60分以上（其中创新能力指标得分</w:t>
      </w:r>
      <w:r>
        <w:rPr>
          <w:rFonts w:ascii="仿宋_GB2312" w:hAnsi="仿宋_GB2312" w:eastAsia="仿宋_GB2312" w:cs="仿宋_GB2312"/>
          <w:bCs/>
          <w:color w:val="000000"/>
          <w:sz w:val="32"/>
          <w:szCs w:val="32"/>
        </w:rPr>
        <w:t>不低</w:t>
      </w:r>
      <w:r>
        <w:rPr>
          <w:rFonts w:hint="eastAsia" w:ascii="仿宋_GB2312" w:hAnsi="仿宋_GB2312" w:eastAsia="仿宋_GB2312" w:cs="仿宋_GB2312"/>
          <w:bCs/>
          <w:color w:val="000000"/>
          <w:sz w:val="32"/>
          <w:szCs w:val="32"/>
          <w:lang w:val="en"/>
        </w:rPr>
        <w:t>于20分、成长性指标及专业化指标得分均不低于15分），或满足下列条件之一：</w:t>
      </w:r>
    </w:p>
    <w:p w14:paraId="705FABC0">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bCs/>
          <w:color w:val="000000"/>
          <w:sz w:val="32"/>
          <w:szCs w:val="32"/>
          <w:lang w:val="en"/>
        </w:rPr>
      </w:pPr>
      <w:r>
        <w:rPr>
          <w:rFonts w:hint="eastAsia" w:ascii="仿宋_GB2312" w:hAnsi="仿宋_GB2312" w:eastAsia="仿宋_GB2312" w:cs="仿宋_GB2312"/>
          <w:bCs/>
          <w:color w:val="000000"/>
          <w:sz w:val="32"/>
          <w:szCs w:val="32"/>
          <w:lang w:val="en"/>
        </w:rPr>
        <w:t>（一）近三年内获得过国家级、省级科技奖励。</w:t>
      </w:r>
    </w:p>
    <w:p w14:paraId="2871DD53">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bCs/>
          <w:color w:val="000000"/>
          <w:sz w:val="32"/>
          <w:szCs w:val="32"/>
          <w:lang w:val="en"/>
        </w:rPr>
      </w:pPr>
      <w:r>
        <w:rPr>
          <w:rFonts w:hint="eastAsia" w:ascii="仿宋_GB2312" w:hAnsi="仿宋_GB2312" w:eastAsia="仿宋_GB2312" w:cs="仿宋_GB2312"/>
          <w:bCs/>
          <w:color w:val="000000"/>
          <w:sz w:val="32"/>
          <w:szCs w:val="32"/>
          <w:lang w:val="en"/>
        </w:rPr>
        <w:t>（二）获得高新技术企业、国家级技术创新示范企业、知识产权优势企业和知识产权示范企业等荣誉（均为有效期内）。</w:t>
      </w:r>
    </w:p>
    <w:p w14:paraId="511DDB09">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bCs/>
          <w:color w:val="000000"/>
          <w:sz w:val="32"/>
          <w:szCs w:val="32"/>
          <w:lang w:val="en"/>
        </w:rPr>
      </w:pPr>
      <w:r>
        <w:rPr>
          <w:rFonts w:hint="eastAsia" w:ascii="仿宋_GB2312" w:hAnsi="仿宋_GB2312" w:eastAsia="仿宋_GB2312" w:cs="仿宋_GB2312"/>
          <w:bCs/>
          <w:color w:val="000000"/>
          <w:sz w:val="32"/>
          <w:szCs w:val="32"/>
          <w:lang w:val="en"/>
        </w:rPr>
        <w:t>（三）拥有经认定的省部级以上研发机构。</w:t>
      </w:r>
    </w:p>
    <w:p w14:paraId="212EBCC1">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bCs/>
          <w:color w:val="000000"/>
          <w:sz w:val="32"/>
          <w:szCs w:val="32"/>
          <w:lang w:val="en"/>
        </w:rPr>
      </w:pPr>
      <w:r>
        <w:rPr>
          <w:rFonts w:hint="eastAsia" w:ascii="仿宋_GB2312" w:hAnsi="仿宋_GB2312" w:eastAsia="仿宋_GB2312" w:cs="仿宋_GB2312"/>
          <w:bCs/>
          <w:color w:val="000000"/>
          <w:sz w:val="32"/>
          <w:szCs w:val="32"/>
          <w:lang w:val="en"/>
        </w:rPr>
        <w:t>（四）近三年内新增股权融资总额（合格机构投资者的实缴额）500万元以上。</w:t>
      </w:r>
    </w:p>
    <w:p w14:paraId="3D83ACC5">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ascii="黑体" w:hAnsi="黑体" w:eastAsia="黑体" w:cs="黑体"/>
          <w:bCs/>
          <w:color w:val="000000"/>
          <w:sz w:val="32"/>
          <w:szCs w:val="32"/>
          <w:lang w:val="en"/>
        </w:rPr>
      </w:pPr>
      <w:r>
        <w:rPr>
          <w:rFonts w:hint="eastAsia" w:ascii="黑体" w:hAnsi="黑体" w:eastAsia="黑体" w:cs="黑体"/>
          <w:bCs/>
          <w:color w:val="000000"/>
          <w:sz w:val="32"/>
          <w:szCs w:val="32"/>
          <w:lang w:val="en"/>
        </w:rPr>
        <w:t>二、评价指标</w:t>
      </w:r>
    </w:p>
    <w:p w14:paraId="32F07854">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bCs/>
          <w:color w:val="000000"/>
          <w:sz w:val="32"/>
          <w:szCs w:val="32"/>
          <w:lang w:val="en"/>
        </w:rPr>
      </w:pPr>
      <w:r>
        <w:rPr>
          <w:rFonts w:hint="eastAsia" w:ascii="仿宋_GB2312" w:hAnsi="仿宋_GB2312" w:eastAsia="仿宋_GB2312" w:cs="仿宋_GB2312"/>
          <w:bCs/>
          <w:color w:val="000000"/>
          <w:sz w:val="32"/>
          <w:szCs w:val="32"/>
          <w:lang w:val="en"/>
        </w:rPr>
        <w:t>包括创新能力、成长性、专业化三类六个指标，评价结果依分值计算，满分为100分。</w:t>
      </w:r>
    </w:p>
    <w:p w14:paraId="1D7F470C">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bCs/>
          <w:color w:val="000000"/>
          <w:sz w:val="32"/>
          <w:szCs w:val="32"/>
          <w:lang w:val="en"/>
        </w:rPr>
      </w:pPr>
      <w:r>
        <w:rPr>
          <w:rFonts w:hint="eastAsia" w:ascii="仿宋_GB2312" w:hAnsi="仿宋_GB2312" w:eastAsia="仿宋_GB2312" w:cs="仿宋_GB2312"/>
          <w:bCs/>
          <w:color w:val="000000"/>
          <w:sz w:val="32"/>
          <w:szCs w:val="32"/>
          <w:lang w:val="en"/>
        </w:rPr>
        <w:t>（一）创新能力指标（满分40分）</w:t>
      </w:r>
    </w:p>
    <w:p w14:paraId="2F36BB22">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bCs/>
          <w:color w:val="000000"/>
          <w:sz w:val="32"/>
          <w:szCs w:val="32"/>
          <w:lang w:val="en"/>
        </w:rPr>
      </w:pPr>
      <w:r>
        <w:rPr>
          <w:rFonts w:hint="eastAsia" w:ascii="仿宋_GB2312" w:hAnsi="仿宋_GB2312" w:eastAsia="仿宋_GB2312" w:cs="仿宋_GB2312"/>
          <w:bCs/>
          <w:color w:val="000000"/>
          <w:sz w:val="32"/>
          <w:szCs w:val="32"/>
          <w:lang w:val="en"/>
        </w:rPr>
        <w:t>1</w:t>
      </w:r>
      <w:r>
        <w:rPr>
          <w:rFonts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
        </w:rPr>
        <w:t>与企业主导产品相关的有效知识产权数量（满分20分）</w:t>
      </w:r>
    </w:p>
    <w:p w14:paraId="79C18F3F">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bCs/>
          <w:color w:val="000000"/>
          <w:sz w:val="32"/>
          <w:szCs w:val="32"/>
          <w:lang w:val="en"/>
        </w:rPr>
      </w:pPr>
      <w:r>
        <w:rPr>
          <w:rFonts w:hint="eastAsia" w:ascii="仿宋_GB2312" w:hAnsi="仿宋_GB2312" w:eastAsia="仿宋_GB2312" w:cs="仿宋_GB2312"/>
          <w:bCs/>
          <w:color w:val="000000"/>
          <w:sz w:val="32"/>
          <w:szCs w:val="32"/>
          <w:lang w:val="en"/>
        </w:rPr>
        <w:t>A</w:t>
      </w:r>
      <w:r>
        <w:rPr>
          <w:rFonts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
        </w:rPr>
        <w:t>Ⅰ类高价值知识产权1项以上（20分）</w:t>
      </w:r>
    </w:p>
    <w:p w14:paraId="6E84C697">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bCs/>
          <w:color w:val="000000"/>
          <w:sz w:val="32"/>
          <w:szCs w:val="32"/>
          <w:lang w:val="en"/>
        </w:rPr>
      </w:pPr>
      <w:r>
        <w:rPr>
          <w:rFonts w:hint="eastAsia" w:ascii="仿宋_GB2312" w:hAnsi="仿宋_GB2312" w:eastAsia="仿宋_GB2312" w:cs="仿宋_GB2312"/>
          <w:bCs/>
          <w:color w:val="000000"/>
          <w:sz w:val="32"/>
          <w:szCs w:val="32"/>
          <w:lang w:val="en"/>
        </w:rPr>
        <w:t>B</w:t>
      </w:r>
      <w:r>
        <w:rPr>
          <w:rFonts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
        </w:rPr>
        <w:t>自主研发的Ⅰ类知识产权1项以上（15分）</w:t>
      </w:r>
    </w:p>
    <w:p w14:paraId="35E0F31C">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bCs/>
          <w:color w:val="000000"/>
          <w:sz w:val="32"/>
          <w:szCs w:val="32"/>
          <w:lang w:val="en"/>
        </w:rPr>
      </w:pPr>
      <w:r>
        <w:rPr>
          <w:rFonts w:hint="eastAsia" w:ascii="仿宋_GB2312" w:hAnsi="仿宋_GB2312" w:eastAsia="仿宋_GB2312" w:cs="仿宋_GB2312"/>
          <w:bCs/>
          <w:color w:val="000000"/>
          <w:sz w:val="32"/>
          <w:szCs w:val="32"/>
          <w:lang w:val="en"/>
        </w:rPr>
        <w:t>C</w:t>
      </w:r>
      <w:r>
        <w:rPr>
          <w:rFonts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
        </w:rPr>
        <w:t>Ⅰ类知识产权1项以上（10分）</w:t>
      </w:r>
    </w:p>
    <w:p w14:paraId="49EC7A69">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bCs/>
          <w:color w:val="000000"/>
          <w:sz w:val="32"/>
          <w:szCs w:val="32"/>
          <w:lang w:val="en"/>
        </w:rPr>
      </w:pPr>
      <w:r>
        <w:rPr>
          <w:rFonts w:hint="eastAsia" w:ascii="仿宋_GB2312" w:hAnsi="仿宋_GB2312" w:eastAsia="仿宋_GB2312" w:cs="仿宋_GB2312"/>
          <w:bCs/>
          <w:color w:val="000000"/>
          <w:sz w:val="32"/>
          <w:szCs w:val="32"/>
          <w:lang w:val="en"/>
        </w:rPr>
        <w:t>D</w:t>
      </w:r>
      <w:r>
        <w:rPr>
          <w:rFonts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
        </w:rPr>
        <w:t>Ⅱ类知识产权1项以上（5分）</w:t>
      </w:r>
    </w:p>
    <w:p w14:paraId="05D8AA24">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bCs/>
          <w:color w:val="000000"/>
          <w:sz w:val="32"/>
          <w:szCs w:val="32"/>
          <w:lang w:val="en"/>
        </w:rPr>
      </w:pPr>
      <w:r>
        <w:rPr>
          <w:rFonts w:hint="eastAsia" w:ascii="仿宋_GB2312" w:hAnsi="仿宋_GB2312" w:eastAsia="仿宋_GB2312" w:cs="仿宋_GB2312"/>
          <w:bCs/>
          <w:color w:val="000000"/>
          <w:sz w:val="32"/>
          <w:szCs w:val="32"/>
          <w:lang w:val="en"/>
        </w:rPr>
        <w:t>E</w:t>
      </w:r>
      <w:r>
        <w:rPr>
          <w:rFonts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
        </w:rPr>
        <w:t>无（0分）</w:t>
      </w:r>
    </w:p>
    <w:p w14:paraId="115419CA">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bCs/>
          <w:color w:val="000000"/>
          <w:sz w:val="32"/>
          <w:szCs w:val="32"/>
          <w:lang w:val="en"/>
        </w:rPr>
      </w:pPr>
      <w:r>
        <w:rPr>
          <w:rFonts w:hint="eastAsia" w:ascii="仿宋_GB2312" w:hAnsi="仿宋_GB2312" w:eastAsia="仿宋_GB2312" w:cs="仿宋_GB2312"/>
          <w:bCs/>
          <w:color w:val="000000"/>
          <w:sz w:val="32"/>
          <w:szCs w:val="32"/>
          <w:lang w:val="en"/>
        </w:rPr>
        <w:t>2</w:t>
      </w:r>
      <w:r>
        <w:rPr>
          <w:rFonts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
        </w:rPr>
        <w:t>上年度研发费用总额占营业收入总额比重（满分20分）</w:t>
      </w:r>
    </w:p>
    <w:p w14:paraId="317439AB">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bCs/>
          <w:color w:val="000000"/>
          <w:sz w:val="32"/>
          <w:szCs w:val="32"/>
          <w:lang w:val="en"/>
        </w:rPr>
      </w:pPr>
      <w:r>
        <w:rPr>
          <w:rFonts w:hint="eastAsia" w:ascii="仿宋_GB2312" w:hAnsi="仿宋_GB2312" w:eastAsia="仿宋_GB2312" w:cs="仿宋_GB2312"/>
          <w:bCs/>
          <w:color w:val="000000"/>
          <w:sz w:val="32"/>
          <w:szCs w:val="32"/>
          <w:lang w:val="en"/>
        </w:rPr>
        <w:t>A</w:t>
      </w:r>
      <w:r>
        <w:rPr>
          <w:rFonts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
        </w:rPr>
        <w:t>5%以上（20分）</w:t>
      </w:r>
    </w:p>
    <w:p w14:paraId="5A788F22">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bCs/>
          <w:color w:val="000000"/>
          <w:sz w:val="32"/>
          <w:szCs w:val="32"/>
          <w:lang w:val="en"/>
        </w:rPr>
      </w:pPr>
      <w:r>
        <w:rPr>
          <w:rFonts w:hint="eastAsia" w:ascii="仿宋_GB2312" w:hAnsi="仿宋_GB2312" w:eastAsia="仿宋_GB2312" w:cs="仿宋_GB2312"/>
          <w:bCs/>
          <w:color w:val="000000"/>
          <w:sz w:val="32"/>
          <w:szCs w:val="32"/>
          <w:lang w:val="en"/>
        </w:rPr>
        <w:t>B</w:t>
      </w:r>
      <w:r>
        <w:rPr>
          <w:rFonts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
        </w:rPr>
        <w:t>3%-5%（15分）</w:t>
      </w:r>
    </w:p>
    <w:p w14:paraId="02E68786">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bCs/>
          <w:color w:val="000000"/>
          <w:sz w:val="32"/>
          <w:szCs w:val="32"/>
          <w:lang w:val="en"/>
        </w:rPr>
      </w:pPr>
      <w:r>
        <w:rPr>
          <w:rFonts w:hint="eastAsia" w:ascii="仿宋_GB2312" w:hAnsi="仿宋_GB2312" w:eastAsia="仿宋_GB2312" w:cs="仿宋_GB2312"/>
          <w:bCs/>
          <w:color w:val="000000"/>
          <w:sz w:val="32"/>
          <w:szCs w:val="32"/>
          <w:lang w:val="en"/>
        </w:rPr>
        <w:t>C</w:t>
      </w:r>
      <w:r>
        <w:rPr>
          <w:rFonts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
        </w:rPr>
        <w:t>2%-3%（10分）</w:t>
      </w:r>
    </w:p>
    <w:p w14:paraId="236FEFD7">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bCs/>
          <w:color w:val="000000"/>
          <w:sz w:val="32"/>
          <w:szCs w:val="32"/>
          <w:lang w:val="en"/>
        </w:rPr>
      </w:pPr>
      <w:r>
        <w:rPr>
          <w:rFonts w:hint="eastAsia" w:ascii="仿宋_GB2312" w:hAnsi="仿宋_GB2312" w:eastAsia="仿宋_GB2312" w:cs="仿宋_GB2312"/>
          <w:bCs/>
          <w:color w:val="000000"/>
          <w:sz w:val="32"/>
          <w:szCs w:val="32"/>
          <w:lang w:val="en"/>
        </w:rPr>
        <w:t>D</w:t>
      </w:r>
      <w:r>
        <w:rPr>
          <w:rFonts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
        </w:rPr>
        <w:t>1%-2%（5分）</w:t>
      </w:r>
    </w:p>
    <w:p w14:paraId="53B2B174">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bCs/>
          <w:color w:val="000000"/>
          <w:sz w:val="32"/>
          <w:szCs w:val="32"/>
          <w:lang w:val="en"/>
        </w:rPr>
      </w:pPr>
      <w:r>
        <w:rPr>
          <w:rFonts w:hint="eastAsia" w:ascii="仿宋_GB2312" w:hAnsi="仿宋_GB2312" w:eastAsia="仿宋_GB2312" w:cs="仿宋_GB2312"/>
          <w:bCs/>
          <w:color w:val="000000"/>
          <w:sz w:val="32"/>
          <w:szCs w:val="32"/>
          <w:lang w:val="en"/>
        </w:rPr>
        <w:t>E</w:t>
      </w:r>
      <w:r>
        <w:rPr>
          <w:rFonts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
        </w:rPr>
        <w:t>1%以下（0分）</w:t>
      </w:r>
    </w:p>
    <w:p w14:paraId="40BA90D9">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bCs/>
          <w:color w:val="000000"/>
          <w:sz w:val="32"/>
          <w:szCs w:val="32"/>
          <w:lang w:val="en"/>
        </w:rPr>
      </w:pPr>
      <w:r>
        <w:rPr>
          <w:rFonts w:hint="eastAsia" w:ascii="仿宋_GB2312" w:hAnsi="仿宋_GB2312" w:eastAsia="仿宋_GB2312" w:cs="仿宋_GB2312"/>
          <w:bCs/>
          <w:color w:val="000000"/>
          <w:sz w:val="32"/>
          <w:szCs w:val="32"/>
          <w:lang w:val="en"/>
        </w:rPr>
        <w:t>（二）成长性指标（满分30分）</w:t>
      </w:r>
    </w:p>
    <w:p w14:paraId="74491C4F">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bCs/>
          <w:color w:val="000000"/>
          <w:sz w:val="32"/>
          <w:szCs w:val="32"/>
          <w:lang w:val="en"/>
        </w:rPr>
      </w:pPr>
      <w:r>
        <w:rPr>
          <w:rFonts w:hint="eastAsia" w:ascii="仿宋_GB2312" w:hAnsi="仿宋_GB2312" w:eastAsia="仿宋_GB2312" w:cs="仿宋_GB2312"/>
          <w:bCs/>
          <w:color w:val="000000"/>
          <w:sz w:val="32"/>
          <w:szCs w:val="32"/>
          <w:lang w:val="en"/>
        </w:rPr>
        <w:t>3</w:t>
      </w:r>
      <w:r>
        <w:rPr>
          <w:rFonts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
        </w:rPr>
        <w:t>上年度主营业务收入增长率（满分20分）</w:t>
      </w:r>
    </w:p>
    <w:p w14:paraId="502A728F">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bCs/>
          <w:color w:val="000000"/>
          <w:sz w:val="32"/>
          <w:szCs w:val="32"/>
          <w:lang w:val="en"/>
        </w:rPr>
      </w:pPr>
      <w:r>
        <w:rPr>
          <w:rFonts w:hint="eastAsia" w:ascii="仿宋_GB2312" w:hAnsi="仿宋_GB2312" w:eastAsia="仿宋_GB2312" w:cs="仿宋_GB2312"/>
          <w:bCs/>
          <w:color w:val="000000"/>
          <w:sz w:val="32"/>
          <w:szCs w:val="32"/>
          <w:lang w:val="en"/>
        </w:rPr>
        <w:t>A</w:t>
      </w:r>
      <w:r>
        <w:rPr>
          <w:rFonts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
        </w:rPr>
        <w:t>15%以上（20分）</w:t>
      </w:r>
    </w:p>
    <w:p w14:paraId="44441665">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bCs/>
          <w:color w:val="000000"/>
          <w:sz w:val="32"/>
          <w:szCs w:val="32"/>
          <w:lang w:val="en"/>
        </w:rPr>
      </w:pPr>
      <w:r>
        <w:rPr>
          <w:rFonts w:hint="eastAsia" w:ascii="仿宋_GB2312" w:hAnsi="仿宋_GB2312" w:eastAsia="仿宋_GB2312" w:cs="仿宋_GB2312"/>
          <w:bCs/>
          <w:color w:val="000000"/>
          <w:sz w:val="32"/>
          <w:szCs w:val="32"/>
          <w:lang w:val="en"/>
        </w:rPr>
        <w:t>B</w:t>
      </w:r>
      <w:r>
        <w:rPr>
          <w:rFonts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
        </w:rPr>
        <w:t>10%-15%（15分）</w:t>
      </w:r>
    </w:p>
    <w:p w14:paraId="2F6A23B2">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bCs/>
          <w:color w:val="000000"/>
          <w:sz w:val="32"/>
          <w:szCs w:val="32"/>
          <w:lang w:val="en"/>
        </w:rPr>
      </w:pPr>
      <w:r>
        <w:rPr>
          <w:rFonts w:hint="eastAsia" w:ascii="仿宋_GB2312" w:hAnsi="仿宋_GB2312" w:eastAsia="仿宋_GB2312" w:cs="仿宋_GB2312"/>
          <w:bCs/>
          <w:color w:val="000000"/>
          <w:sz w:val="32"/>
          <w:szCs w:val="32"/>
          <w:lang w:val="en"/>
        </w:rPr>
        <w:t>C</w:t>
      </w:r>
      <w:r>
        <w:rPr>
          <w:rFonts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
        </w:rPr>
        <w:t>5%-10%（10分）</w:t>
      </w:r>
    </w:p>
    <w:p w14:paraId="4780CD50">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bCs/>
          <w:color w:val="000000"/>
          <w:sz w:val="32"/>
          <w:szCs w:val="32"/>
          <w:lang w:val="en"/>
        </w:rPr>
      </w:pPr>
      <w:r>
        <w:rPr>
          <w:rFonts w:hint="eastAsia" w:ascii="仿宋_GB2312" w:hAnsi="仿宋_GB2312" w:eastAsia="仿宋_GB2312" w:cs="仿宋_GB2312"/>
          <w:bCs/>
          <w:color w:val="000000"/>
          <w:sz w:val="32"/>
          <w:szCs w:val="32"/>
          <w:lang w:val="en"/>
        </w:rPr>
        <w:t>D</w:t>
      </w:r>
      <w:r>
        <w:rPr>
          <w:rFonts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
        </w:rPr>
        <w:t>0%-5%（5分）</w:t>
      </w:r>
    </w:p>
    <w:p w14:paraId="0916002B">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bCs/>
          <w:color w:val="000000"/>
          <w:sz w:val="32"/>
          <w:szCs w:val="32"/>
          <w:lang w:val="en"/>
        </w:rPr>
      </w:pPr>
      <w:r>
        <w:rPr>
          <w:rFonts w:hint="eastAsia" w:ascii="仿宋_GB2312" w:hAnsi="仿宋_GB2312" w:eastAsia="仿宋_GB2312" w:cs="仿宋_GB2312"/>
          <w:bCs/>
          <w:color w:val="000000"/>
          <w:sz w:val="32"/>
          <w:szCs w:val="32"/>
          <w:lang w:val="en"/>
        </w:rPr>
        <w:t>E</w:t>
      </w:r>
      <w:r>
        <w:rPr>
          <w:rFonts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
        </w:rPr>
        <w:t>0%以下（0分）</w:t>
      </w:r>
    </w:p>
    <w:p w14:paraId="712666D1">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bCs/>
          <w:color w:val="000000"/>
          <w:sz w:val="32"/>
          <w:szCs w:val="32"/>
          <w:lang w:val="en"/>
        </w:rPr>
      </w:pPr>
      <w:r>
        <w:rPr>
          <w:rFonts w:hint="eastAsia" w:ascii="仿宋_GB2312" w:hAnsi="仿宋_GB2312" w:eastAsia="仿宋_GB2312" w:cs="仿宋_GB2312"/>
          <w:bCs/>
          <w:color w:val="000000"/>
          <w:sz w:val="32"/>
          <w:szCs w:val="32"/>
          <w:lang w:val="en"/>
        </w:rPr>
        <w:t>4</w:t>
      </w:r>
      <w:r>
        <w:rPr>
          <w:rFonts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
        </w:rPr>
        <w:t>上年度资产负债率（满分10分）</w:t>
      </w:r>
    </w:p>
    <w:p w14:paraId="19340416">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bCs/>
          <w:color w:val="000000"/>
          <w:sz w:val="32"/>
          <w:szCs w:val="32"/>
          <w:lang w:val="en"/>
        </w:rPr>
      </w:pPr>
      <w:r>
        <w:rPr>
          <w:rFonts w:hint="eastAsia" w:ascii="仿宋_GB2312" w:hAnsi="仿宋_GB2312" w:eastAsia="仿宋_GB2312" w:cs="仿宋_GB2312"/>
          <w:bCs/>
          <w:color w:val="000000"/>
          <w:sz w:val="32"/>
          <w:szCs w:val="32"/>
          <w:lang w:val="en"/>
        </w:rPr>
        <w:t>A</w:t>
      </w:r>
      <w:r>
        <w:rPr>
          <w:rFonts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
        </w:rPr>
        <w:t>55%以下（10分）</w:t>
      </w:r>
    </w:p>
    <w:p w14:paraId="0D283C99">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bCs/>
          <w:color w:val="000000"/>
          <w:sz w:val="32"/>
          <w:szCs w:val="32"/>
          <w:lang w:val="en"/>
        </w:rPr>
      </w:pPr>
      <w:r>
        <w:rPr>
          <w:rFonts w:hint="eastAsia" w:ascii="仿宋_GB2312" w:hAnsi="仿宋_GB2312" w:eastAsia="仿宋_GB2312" w:cs="仿宋_GB2312"/>
          <w:bCs/>
          <w:color w:val="000000"/>
          <w:sz w:val="32"/>
          <w:szCs w:val="32"/>
          <w:lang w:val="en"/>
        </w:rPr>
        <w:t>B</w:t>
      </w:r>
      <w:r>
        <w:rPr>
          <w:rFonts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
        </w:rPr>
        <w:t>55%-75%（5分）</w:t>
      </w:r>
    </w:p>
    <w:p w14:paraId="043C5847">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bCs/>
          <w:color w:val="000000"/>
          <w:sz w:val="32"/>
          <w:szCs w:val="32"/>
          <w:lang w:val="en"/>
        </w:rPr>
      </w:pPr>
      <w:r>
        <w:rPr>
          <w:rFonts w:hint="eastAsia" w:ascii="仿宋_GB2312" w:hAnsi="仿宋_GB2312" w:eastAsia="仿宋_GB2312" w:cs="仿宋_GB2312"/>
          <w:bCs/>
          <w:color w:val="000000"/>
          <w:sz w:val="32"/>
          <w:szCs w:val="32"/>
          <w:lang w:val="en-US" w:eastAsia="zh-CN"/>
        </w:rPr>
        <w:t>C</w:t>
      </w:r>
      <w:r>
        <w:rPr>
          <w:rFonts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
        </w:rPr>
        <w:t>75%以上（0分）</w:t>
      </w:r>
    </w:p>
    <w:p w14:paraId="5F0487FD">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bCs/>
          <w:color w:val="000000"/>
          <w:sz w:val="32"/>
          <w:szCs w:val="32"/>
          <w:lang w:val="en"/>
        </w:rPr>
      </w:pPr>
      <w:r>
        <w:rPr>
          <w:rFonts w:hint="eastAsia" w:ascii="仿宋_GB2312" w:hAnsi="仿宋_GB2312" w:eastAsia="仿宋_GB2312" w:cs="仿宋_GB2312"/>
          <w:bCs/>
          <w:color w:val="000000"/>
          <w:sz w:val="32"/>
          <w:szCs w:val="32"/>
          <w:lang w:val="en"/>
        </w:rPr>
        <w:t>（三）专业化指标（满分30分）</w:t>
      </w:r>
    </w:p>
    <w:p w14:paraId="75F1B046">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bCs/>
          <w:color w:val="000000"/>
          <w:sz w:val="32"/>
          <w:szCs w:val="32"/>
          <w:lang w:val="en"/>
        </w:rPr>
      </w:pPr>
      <w:r>
        <w:rPr>
          <w:rFonts w:hint="eastAsia" w:ascii="仿宋_GB2312" w:hAnsi="仿宋_GB2312" w:eastAsia="仿宋_GB2312" w:cs="仿宋_GB2312"/>
          <w:bCs/>
          <w:color w:val="000000"/>
          <w:sz w:val="32"/>
          <w:szCs w:val="32"/>
          <w:lang w:val="en"/>
        </w:rPr>
        <w:t>5</w:t>
      </w:r>
      <w:r>
        <w:rPr>
          <w:rFonts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
        </w:rPr>
        <w:t>主导产品所属领域情况（满分10分）</w:t>
      </w:r>
    </w:p>
    <w:p w14:paraId="7495B121">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bCs/>
          <w:color w:val="000000"/>
          <w:sz w:val="32"/>
          <w:szCs w:val="32"/>
          <w:lang w:val="en"/>
        </w:rPr>
      </w:pPr>
      <w:r>
        <w:rPr>
          <w:rFonts w:hint="eastAsia" w:ascii="仿宋_GB2312" w:hAnsi="仿宋_GB2312" w:eastAsia="仿宋_GB2312" w:cs="仿宋_GB2312"/>
          <w:bCs/>
          <w:color w:val="000000"/>
          <w:sz w:val="32"/>
          <w:szCs w:val="32"/>
          <w:lang w:val="en"/>
        </w:rPr>
        <w:t>A</w:t>
      </w:r>
      <w:r>
        <w:rPr>
          <w:rFonts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
        </w:rPr>
        <w:t>属于《战略性新兴产业分类》（10分）</w:t>
      </w:r>
    </w:p>
    <w:p w14:paraId="383E78E0">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bCs/>
          <w:color w:val="000000"/>
          <w:sz w:val="32"/>
          <w:szCs w:val="32"/>
          <w:lang w:val="en"/>
        </w:rPr>
      </w:pPr>
      <w:r>
        <w:rPr>
          <w:rFonts w:hint="eastAsia" w:ascii="仿宋_GB2312" w:hAnsi="仿宋_GB2312" w:eastAsia="仿宋_GB2312" w:cs="仿宋_GB2312"/>
          <w:bCs/>
          <w:color w:val="000000"/>
          <w:sz w:val="32"/>
          <w:szCs w:val="32"/>
          <w:lang w:val="en"/>
        </w:rPr>
        <w:t>B</w:t>
      </w:r>
      <w:r>
        <w:rPr>
          <w:rFonts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
        </w:rPr>
        <w:t>属于其他领域（5分）</w:t>
      </w:r>
    </w:p>
    <w:p w14:paraId="69A374C7">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bCs/>
          <w:color w:val="000000"/>
          <w:sz w:val="32"/>
          <w:szCs w:val="32"/>
          <w:lang w:val="en"/>
        </w:rPr>
      </w:pPr>
      <w:r>
        <w:rPr>
          <w:rFonts w:hint="eastAsia" w:ascii="仿宋_GB2312" w:hAnsi="仿宋_GB2312" w:eastAsia="仿宋_GB2312" w:cs="仿宋_GB2312"/>
          <w:bCs/>
          <w:color w:val="000000"/>
          <w:sz w:val="32"/>
          <w:szCs w:val="32"/>
          <w:lang w:val="en"/>
        </w:rPr>
        <w:t>6</w:t>
      </w:r>
      <w:r>
        <w:rPr>
          <w:rFonts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
        </w:rPr>
        <w:t>上年度主营业务收入总额占营业收入总额比重（满分20分）</w:t>
      </w:r>
    </w:p>
    <w:p w14:paraId="62ABD2A1">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bCs/>
          <w:color w:val="000000"/>
          <w:sz w:val="32"/>
          <w:szCs w:val="32"/>
          <w:lang w:val="en"/>
        </w:rPr>
      </w:pPr>
      <w:r>
        <w:rPr>
          <w:rFonts w:hint="eastAsia" w:ascii="仿宋_GB2312" w:hAnsi="仿宋_GB2312" w:eastAsia="仿宋_GB2312" w:cs="仿宋_GB2312"/>
          <w:bCs/>
          <w:color w:val="000000"/>
          <w:sz w:val="32"/>
          <w:szCs w:val="32"/>
          <w:lang w:val="en"/>
        </w:rPr>
        <w:t>A</w:t>
      </w:r>
      <w:r>
        <w:rPr>
          <w:rFonts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
        </w:rPr>
        <w:t>70%以上（20分）</w:t>
      </w:r>
    </w:p>
    <w:p w14:paraId="027BAFDC">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bCs/>
          <w:color w:val="000000"/>
          <w:sz w:val="32"/>
          <w:szCs w:val="32"/>
          <w:lang w:val="en"/>
        </w:rPr>
      </w:pPr>
      <w:r>
        <w:rPr>
          <w:rFonts w:hint="eastAsia" w:ascii="仿宋_GB2312" w:hAnsi="仿宋_GB2312" w:eastAsia="仿宋_GB2312" w:cs="仿宋_GB2312"/>
          <w:bCs/>
          <w:color w:val="000000"/>
          <w:sz w:val="32"/>
          <w:szCs w:val="32"/>
          <w:lang w:val="en"/>
        </w:rPr>
        <w:t>B</w:t>
      </w:r>
      <w:r>
        <w:rPr>
          <w:rFonts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
        </w:rPr>
        <w:t>60%-70%（15分）</w:t>
      </w:r>
    </w:p>
    <w:p w14:paraId="331B0645">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bCs/>
          <w:color w:val="000000"/>
          <w:sz w:val="32"/>
          <w:szCs w:val="32"/>
          <w:lang w:val="en"/>
        </w:rPr>
      </w:pPr>
      <w:r>
        <w:rPr>
          <w:rFonts w:hint="eastAsia" w:ascii="仿宋_GB2312" w:hAnsi="仿宋_GB2312" w:eastAsia="仿宋_GB2312" w:cs="仿宋_GB2312"/>
          <w:bCs/>
          <w:color w:val="000000"/>
          <w:sz w:val="32"/>
          <w:szCs w:val="32"/>
          <w:lang w:val="en"/>
        </w:rPr>
        <w:t>C</w:t>
      </w:r>
      <w:r>
        <w:rPr>
          <w:rFonts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
        </w:rPr>
        <w:t>55%-60%（10分）</w:t>
      </w:r>
    </w:p>
    <w:p w14:paraId="02F8D694">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bCs/>
          <w:color w:val="000000"/>
          <w:sz w:val="32"/>
          <w:szCs w:val="32"/>
          <w:lang w:val="en"/>
        </w:rPr>
      </w:pPr>
      <w:r>
        <w:rPr>
          <w:rFonts w:hint="eastAsia" w:ascii="仿宋_GB2312" w:hAnsi="仿宋_GB2312" w:eastAsia="仿宋_GB2312" w:cs="仿宋_GB2312"/>
          <w:bCs/>
          <w:color w:val="000000"/>
          <w:sz w:val="32"/>
          <w:szCs w:val="32"/>
          <w:lang w:val="en"/>
        </w:rPr>
        <w:t>D</w:t>
      </w:r>
      <w:r>
        <w:rPr>
          <w:rFonts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
        </w:rPr>
        <w:t>50%-55%（5分）</w:t>
      </w:r>
    </w:p>
    <w:p w14:paraId="382DCFBC">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bCs/>
          <w:color w:val="000000"/>
          <w:sz w:val="32"/>
          <w:szCs w:val="32"/>
          <w:lang w:val="en"/>
        </w:rPr>
      </w:pPr>
      <w:r>
        <w:rPr>
          <w:rFonts w:hint="eastAsia" w:ascii="仿宋_GB2312" w:hAnsi="仿宋_GB2312" w:eastAsia="仿宋_GB2312" w:cs="仿宋_GB2312"/>
          <w:bCs/>
          <w:color w:val="000000"/>
          <w:sz w:val="32"/>
          <w:szCs w:val="32"/>
          <w:lang w:val="en"/>
        </w:rPr>
        <w:t>E</w:t>
      </w:r>
      <w:r>
        <w:rPr>
          <w:rFonts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
        </w:rPr>
        <w:t>50%以下（0分）</w:t>
      </w:r>
    </w:p>
    <w:p w14:paraId="0848E12E">
      <w:pPr>
        <w:pStyle w:val="2"/>
        <w:keepNext w:val="0"/>
        <w:keepLines w:val="0"/>
        <w:pageBreakBefore w:val="0"/>
        <w:kinsoku/>
        <w:wordWrap w:val="0"/>
        <w:overflowPunct/>
        <w:topLinePunct w:val="0"/>
        <w:autoSpaceDE/>
        <w:autoSpaceDN/>
        <w:bidi w:val="0"/>
        <w:adjustRightInd/>
        <w:snapToGrid/>
        <w:textAlignment w:val="auto"/>
      </w:pPr>
    </w:p>
    <w:p w14:paraId="700B89BA">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rPr>
      </w:pPr>
    </w:p>
    <w:p w14:paraId="080A2BDC">
      <w:pPr>
        <w:pStyle w:val="2"/>
        <w:keepNext w:val="0"/>
        <w:keepLines w:val="0"/>
        <w:pageBreakBefore w:val="0"/>
        <w:kinsoku/>
        <w:wordWrap w:val="0"/>
        <w:overflowPunct/>
        <w:topLinePunct w:val="0"/>
        <w:autoSpaceDE/>
        <w:autoSpaceDN/>
        <w:bidi w:val="0"/>
        <w:adjustRightInd/>
        <w:snapToGrid/>
        <w:textAlignment w:val="auto"/>
        <w:rPr>
          <w:rFonts w:ascii="仿宋_GB2312" w:hAnsi="仿宋_GB2312" w:eastAsia="仿宋_GB2312" w:cs="仿宋_GB2312"/>
          <w:sz w:val="32"/>
          <w:szCs w:val="32"/>
        </w:rPr>
      </w:pPr>
    </w:p>
    <w:p w14:paraId="449CFAF0">
      <w:pPr>
        <w:pStyle w:val="3"/>
        <w:keepNext w:val="0"/>
        <w:keepLines w:val="0"/>
        <w:pageBreakBefore w:val="0"/>
        <w:kinsoku/>
        <w:wordWrap w:val="0"/>
        <w:overflowPunct/>
        <w:topLinePunct w:val="0"/>
        <w:autoSpaceDE/>
        <w:autoSpaceDN/>
        <w:bidi w:val="0"/>
        <w:adjustRightInd/>
        <w:snapToGrid/>
        <w:textAlignment w:val="auto"/>
        <w:rPr>
          <w:rFonts w:ascii="仿宋_GB2312" w:hAnsi="仿宋_GB2312" w:eastAsia="仿宋_GB2312" w:cs="仿宋_GB2312"/>
          <w:sz w:val="32"/>
        </w:rPr>
      </w:pPr>
    </w:p>
    <w:p w14:paraId="70A85756">
      <w:pPr>
        <w:keepNext w:val="0"/>
        <w:keepLines w:val="0"/>
        <w:pageBreakBefore w:val="0"/>
        <w:kinsoku/>
        <w:wordWrap w:val="0"/>
        <w:overflowPunct/>
        <w:topLinePunct w:val="0"/>
        <w:autoSpaceDE/>
        <w:autoSpaceDN/>
        <w:bidi w:val="0"/>
        <w:adjustRightInd/>
        <w:snapToGrid/>
        <w:textAlignment w:val="auto"/>
        <w:rPr>
          <w:rFonts w:ascii="仿宋_GB2312" w:hAnsi="仿宋_GB2312" w:eastAsia="仿宋_GB2312" w:cs="仿宋_GB2312"/>
          <w:sz w:val="32"/>
          <w:szCs w:val="32"/>
        </w:rPr>
      </w:pPr>
    </w:p>
    <w:p w14:paraId="0574D8C5">
      <w:pPr>
        <w:pStyle w:val="2"/>
        <w:keepNext w:val="0"/>
        <w:keepLines w:val="0"/>
        <w:pageBreakBefore w:val="0"/>
        <w:kinsoku/>
        <w:wordWrap w:val="0"/>
        <w:overflowPunct/>
        <w:topLinePunct w:val="0"/>
        <w:autoSpaceDE/>
        <w:autoSpaceDN/>
        <w:bidi w:val="0"/>
        <w:adjustRightInd/>
        <w:snapToGrid/>
        <w:textAlignment w:val="auto"/>
        <w:rPr>
          <w:rFonts w:ascii="仿宋_GB2312" w:hAnsi="仿宋_GB2312" w:eastAsia="仿宋_GB2312" w:cs="仿宋_GB2312"/>
          <w:sz w:val="32"/>
          <w:szCs w:val="32"/>
        </w:rPr>
      </w:pPr>
    </w:p>
    <w:p w14:paraId="7EA14F05">
      <w:pPr>
        <w:pStyle w:val="3"/>
        <w:keepNext w:val="0"/>
        <w:keepLines w:val="0"/>
        <w:pageBreakBefore w:val="0"/>
        <w:kinsoku/>
        <w:wordWrap w:val="0"/>
        <w:overflowPunct/>
        <w:topLinePunct w:val="0"/>
        <w:autoSpaceDE/>
        <w:autoSpaceDN/>
        <w:bidi w:val="0"/>
        <w:adjustRightInd/>
        <w:snapToGrid/>
        <w:textAlignment w:val="auto"/>
        <w:rPr>
          <w:rFonts w:ascii="仿宋_GB2312" w:hAnsi="仿宋_GB2312" w:eastAsia="仿宋_GB2312" w:cs="仿宋_GB2312"/>
          <w:sz w:val="32"/>
        </w:rPr>
      </w:pPr>
    </w:p>
    <w:p w14:paraId="358A1182">
      <w:pPr>
        <w:keepNext w:val="0"/>
        <w:keepLines w:val="0"/>
        <w:pageBreakBefore w:val="0"/>
        <w:kinsoku/>
        <w:wordWrap w:val="0"/>
        <w:overflowPunct/>
        <w:topLinePunct w:val="0"/>
        <w:autoSpaceDE/>
        <w:autoSpaceDN/>
        <w:bidi w:val="0"/>
        <w:adjustRightInd/>
        <w:snapToGrid/>
        <w:textAlignment w:val="auto"/>
        <w:rPr>
          <w:rFonts w:ascii="仿宋_GB2312" w:hAnsi="仿宋_GB2312" w:eastAsia="仿宋_GB2312" w:cs="仿宋_GB2312"/>
          <w:sz w:val="32"/>
          <w:szCs w:val="32"/>
        </w:rPr>
      </w:pPr>
    </w:p>
    <w:p w14:paraId="3237BAEB">
      <w:pPr>
        <w:pStyle w:val="2"/>
        <w:keepNext w:val="0"/>
        <w:keepLines w:val="0"/>
        <w:pageBreakBefore w:val="0"/>
        <w:kinsoku/>
        <w:wordWrap w:val="0"/>
        <w:overflowPunct/>
        <w:topLinePunct w:val="0"/>
        <w:autoSpaceDE/>
        <w:autoSpaceDN/>
        <w:bidi w:val="0"/>
        <w:adjustRightInd/>
        <w:snapToGrid/>
        <w:textAlignment w:val="auto"/>
        <w:rPr>
          <w:rFonts w:ascii="仿宋_GB2312" w:hAnsi="仿宋_GB2312" w:eastAsia="仿宋_GB2312" w:cs="仿宋_GB2312"/>
          <w:sz w:val="32"/>
          <w:szCs w:val="32"/>
        </w:rPr>
      </w:pPr>
    </w:p>
    <w:p w14:paraId="2CC74A07">
      <w:pPr>
        <w:pStyle w:val="3"/>
        <w:keepNext w:val="0"/>
        <w:keepLines w:val="0"/>
        <w:pageBreakBefore w:val="0"/>
        <w:kinsoku/>
        <w:wordWrap w:val="0"/>
        <w:overflowPunct/>
        <w:topLinePunct w:val="0"/>
        <w:autoSpaceDE/>
        <w:autoSpaceDN/>
        <w:bidi w:val="0"/>
        <w:adjustRightInd/>
        <w:snapToGrid/>
        <w:textAlignment w:val="auto"/>
        <w:rPr>
          <w:rFonts w:ascii="仿宋_GB2312" w:hAnsi="仿宋_GB2312" w:eastAsia="仿宋_GB2312" w:cs="仿宋_GB2312"/>
          <w:sz w:val="32"/>
        </w:rPr>
      </w:pPr>
    </w:p>
    <w:p w14:paraId="05D14E1F">
      <w:pPr>
        <w:keepNext w:val="0"/>
        <w:keepLines w:val="0"/>
        <w:pageBreakBefore w:val="0"/>
        <w:kinsoku/>
        <w:wordWrap w:val="0"/>
        <w:overflowPunct/>
        <w:topLinePunct w:val="0"/>
        <w:autoSpaceDE/>
        <w:autoSpaceDN/>
        <w:bidi w:val="0"/>
        <w:adjustRightInd/>
        <w:snapToGrid/>
        <w:textAlignment w:val="auto"/>
        <w:rPr>
          <w:rFonts w:ascii="仿宋_GB2312" w:hAnsi="仿宋_GB2312" w:eastAsia="仿宋_GB2312" w:cs="仿宋_GB2312"/>
          <w:sz w:val="32"/>
          <w:szCs w:val="32"/>
        </w:rPr>
      </w:pPr>
    </w:p>
    <w:p w14:paraId="2B368EC4">
      <w:pPr>
        <w:keepNext w:val="0"/>
        <w:keepLines w:val="0"/>
        <w:pageBreakBefore w:val="0"/>
        <w:kinsoku/>
        <w:wordWrap w:val="0"/>
        <w:overflowPunct/>
        <w:topLinePunct w:val="0"/>
        <w:autoSpaceDE/>
        <w:autoSpaceDN/>
        <w:bidi w:val="0"/>
        <w:adjustRightInd/>
        <w:snapToGrid/>
        <w:spacing w:line="560" w:lineRule="exact"/>
        <w:textAlignment w:val="auto"/>
        <w:rPr>
          <w:rFonts w:ascii="仿宋_GB2312" w:hAnsi="仿宋_GB2312" w:eastAsia="仿宋_GB2312" w:cs="仿宋_GB2312"/>
          <w:bCs/>
          <w:color w:val="000000"/>
          <w:sz w:val="32"/>
          <w:szCs w:val="32"/>
        </w:rPr>
      </w:pPr>
    </w:p>
    <w:p w14:paraId="38946F6C">
      <w:pPr>
        <w:keepNext w:val="0"/>
        <w:keepLines w:val="0"/>
        <w:pageBreakBefore w:val="0"/>
        <w:kinsoku/>
        <w:wordWrap w:val="0"/>
        <w:overflowPunct/>
        <w:topLinePunct w:val="0"/>
        <w:autoSpaceDE/>
        <w:autoSpaceDN/>
        <w:bidi w:val="0"/>
        <w:adjustRightInd/>
        <w:snapToGrid/>
        <w:spacing w:line="560" w:lineRule="exact"/>
        <w:jc w:val="center"/>
        <w:textAlignment w:val="auto"/>
        <w:rPr>
          <w:rFonts w:ascii="方正小标宋简体" w:hAnsi="方正小标宋简体" w:eastAsia="方正小标宋简体" w:cs="方正小标宋简体"/>
          <w:bCs/>
          <w:color w:val="000000"/>
          <w:sz w:val="44"/>
          <w:szCs w:val="44"/>
        </w:rPr>
      </w:pPr>
      <w:r>
        <w:rPr>
          <w:rFonts w:hint="eastAsia" w:ascii="方正小标宋简体" w:hAnsi="方正小标宋简体" w:eastAsia="方正小标宋简体" w:cs="方正小标宋简体"/>
          <w:bCs/>
          <w:color w:val="000000"/>
          <w:sz w:val="44"/>
          <w:szCs w:val="44"/>
        </w:rPr>
        <w:br w:type="page"/>
      </w:r>
      <w:r>
        <w:rPr>
          <w:rFonts w:hint="eastAsia" w:ascii="方正小标宋简体" w:hAnsi="方正小标宋简体" w:eastAsia="方正小标宋简体" w:cs="方正小标宋简体"/>
          <w:bCs/>
          <w:color w:val="000000"/>
          <w:sz w:val="44"/>
          <w:szCs w:val="44"/>
        </w:rPr>
        <w:t>部分指标和要求说明</w:t>
      </w:r>
    </w:p>
    <w:p w14:paraId="21C6DB78">
      <w:pPr>
        <w:keepNext w:val="0"/>
        <w:keepLines w:val="0"/>
        <w:pageBreakBefore w:val="0"/>
        <w:kinsoku/>
        <w:wordWrap w:val="0"/>
        <w:overflowPunct/>
        <w:topLinePunct w:val="0"/>
        <w:autoSpaceDE/>
        <w:autoSpaceDN/>
        <w:bidi w:val="0"/>
        <w:adjustRightInd/>
        <w:snapToGrid/>
        <w:spacing w:line="560" w:lineRule="exact"/>
        <w:textAlignment w:val="auto"/>
        <w:rPr>
          <w:rFonts w:ascii="仿宋_GB2312" w:hAnsi="仿宋_GB2312" w:eastAsia="仿宋_GB2312" w:cs="仿宋_GB2312"/>
          <w:bCs/>
          <w:color w:val="000000"/>
          <w:sz w:val="32"/>
          <w:szCs w:val="32"/>
        </w:rPr>
      </w:pPr>
    </w:p>
    <w:p w14:paraId="13166DA4">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bCs/>
          <w:color w:val="000000"/>
          <w:sz w:val="32"/>
          <w:szCs w:val="32"/>
          <w:lang w:val="en"/>
        </w:rPr>
      </w:pPr>
      <w:r>
        <w:rPr>
          <w:rFonts w:hint="eastAsia" w:ascii="仿宋_GB2312" w:hAnsi="仿宋_GB2312" w:eastAsia="仿宋_GB2312" w:cs="仿宋_GB2312"/>
          <w:bCs/>
          <w:color w:val="000000"/>
          <w:sz w:val="32"/>
          <w:szCs w:val="32"/>
          <w:lang w:val="en"/>
        </w:rPr>
        <w:t>（一）指标中如对期限无特殊说明，一般使用企业近1年的年度数据，具体定义为：指企业上一完整会计年度，以企业上一年度审计报告期末数为准。对于存在子公司或母公司的企业，按财政部印发的《企业会计准则》有关规定执行。</w:t>
      </w:r>
    </w:p>
    <w:p w14:paraId="689BF70D">
      <w:pPr>
        <w:keepNext w:val="0"/>
        <w:keepLines w:val="0"/>
        <w:pageBreakBefore w:val="0"/>
        <w:kinsoku/>
        <w:wordWrap w:val="0"/>
        <w:overflowPunct/>
        <w:topLinePunct w:val="0"/>
        <w:autoSpaceDE/>
        <w:autoSpaceDN/>
        <w:bidi w:val="0"/>
        <w:adjustRightInd/>
        <w:snapToGrid/>
        <w:spacing w:line="560" w:lineRule="exact"/>
        <w:textAlignment w:val="auto"/>
        <w:rPr>
          <w:rFonts w:ascii="仿宋_GB2312" w:hAnsi="仿宋_GB2312" w:eastAsia="仿宋_GB2312" w:cs="仿宋_GB2312"/>
          <w:bCs/>
          <w:color w:val="000000"/>
          <w:sz w:val="32"/>
          <w:szCs w:val="32"/>
          <w:lang w:val="en"/>
        </w:rPr>
      </w:pPr>
      <w:r>
        <w:rPr>
          <w:rFonts w:ascii="仿宋_GB2312" w:hAnsi="仿宋_GB2312" w:eastAsia="仿宋_GB2312" w:cs="仿宋_GB2312"/>
          <w:bCs/>
          <w:color w:val="000000"/>
          <w:sz w:val="32"/>
          <w:szCs w:val="32"/>
        </w:rPr>
        <w:t xml:space="preserve">    </w:t>
      </w:r>
      <w:r>
        <w:rPr>
          <w:rFonts w:hint="eastAsia" w:ascii="仿宋_GB2312" w:hAnsi="仿宋_GB2312" w:eastAsia="仿宋_GB2312" w:cs="仿宋_GB2312"/>
          <w:bCs/>
          <w:color w:val="000000"/>
          <w:sz w:val="32"/>
          <w:szCs w:val="32"/>
          <w:lang w:val="en"/>
        </w:rPr>
        <w:t>（二）所称拥有自主品牌是指主营业务产品或服务具有自主知识产权，且符合下列条件之一：</w:t>
      </w:r>
    </w:p>
    <w:p w14:paraId="433BC1EE">
      <w:pPr>
        <w:keepNext w:val="0"/>
        <w:keepLines w:val="0"/>
        <w:pageBreakBefore w:val="0"/>
        <w:kinsoku/>
        <w:wordWrap w:val="0"/>
        <w:overflowPunct/>
        <w:topLinePunct w:val="0"/>
        <w:autoSpaceDE/>
        <w:autoSpaceDN/>
        <w:bidi w:val="0"/>
        <w:adjustRightInd/>
        <w:snapToGrid/>
        <w:spacing w:line="560" w:lineRule="exact"/>
        <w:textAlignment w:val="auto"/>
        <w:rPr>
          <w:rFonts w:ascii="仿宋_GB2312" w:hAnsi="仿宋_GB2312" w:eastAsia="仿宋_GB2312" w:cs="仿宋_GB2312"/>
          <w:bCs/>
          <w:color w:val="000000"/>
          <w:sz w:val="32"/>
          <w:szCs w:val="32"/>
          <w:lang w:val="en"/>
        </w:rPr>
      </w:pPr>
      <w:r>
        <w:rPr>
          <w:rFonts w:ascii="仿宋_GB2312" w:hAnsi="仿宋_GB2312" w:eastAsia="仿宋_GB2312" w:cs="仿宋_GB2312"/>
          <w:bCs/>
          <w:color w:val="000000"/>
          <w:sz w:val="32"/>
          <w:szCs w:val="32"/>
        </w:rPr>
        <w:t xml:space="preserve">    </w:t>
      </w:r>
      <w:r>
        <w:rPr>
          <w:rFonts w:hint="eastAsia" w:ascii="仿宋_GB2312" w:hAnsi="仿宋_GB2312" w:eastAsia="仿宋_GB2312" w:cs="仿宋_GB2312"/>
          <w:bCs/>
          <w:color w:val="000000"/>
          <w:sz w:val="32"/>
          <w:szCs w:val="32"/>
          <w:lang w:val="en"/>
        </w:rPr>
        <w:t>1</w:t>
      </w:r>
      <w:r>
        <w:rPr>
          <w:rFonts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
        </w:rPr>
        <w:t>产品或服务品牌已经国家知识产权局商标局正式注册。</w:t>
      </w:r>
    </w:p>
    <w:p w14:paraId="17FEF5ED">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bCs/>
          <w:color w:val="000000"/>
          <w:sz w:val="32"/>
          <w:szCs w:val="32"/>
          <w:lang w:val="en"/>
        </w:rPr>
      </w:pPr>
      <w:r>
        <w:rPr>
          <w:rFonts w:ascii="仿宋_GB2312" w:hAnsi="仿宋_GB2312" w:eastAsia="仿宋_GB2312" w:cs="仿宋_GB2312"/>
          <w:bCs/>
          <w:color w:val="000000"/>
          <w:sz w:val="32"/>
          <w:szCs w:val="32"/>
        </w:rPr>
        <w:t>2.</w:t>
      </w:r>
      <w:r>
        <w:rPr>
          <w:rFonts w:hint="eastAsia" w:ascii="仿宋_GB2312" w:hAnsi="仿宋_GB2312" w:eastAsia="仿宋_GB2312" w:cs="仿宋_GB2312"/>
          <w:bCs/>
          <w:color w:val="000000"/>
          <w:sz w:val="32"/>
          <w:szCs w:val="32"/>
          <w:lang w:val="en"/>
        </w:rPr>
        <w:t>产品或服务已经实现收入。</w:t>
      </w:r>
    </w:p>
    <w:p w14:paraId="487E393E">
      <w:pPr>
        <w:keepNext w:val="0"/>
        <w:keepLines w:val="0"/>
        <w:pageBreakBefore w:val="0"/>
        <w:kinsoku/>
        <w:wordWrap w:val="0"/>
        <w:overflowPunct/>
        <w:topLinePunct w:val="0"/>
        <w:autoSpaceDE/>
        <w:autoSpaceDN/>
        <w:bidi w:val="0"/>
        <w:adjustRightInd/>
        <w:snapToGrid/>
        <w:spacing w:line="560" w:lineRule="exact"/>
        <w:textAlignment w:val="auto"/>
        <w:rPr>
          <w:rFonts w:ascii="仿宋_GB2312" w:hAnsi="仿宋_GB2312" w:eastAsia="仿宋_GB2312" w:cs="仿宋_GB2312"/>
          <w:bCs/>
          <w:color w:val="000000"/>
          <w:sz w:val="32"/>
          <w:szCs w:val="32"/>
          <w:lang w:val="en"/>
        </w:rPr>
      </w:pPr>
      <w:r>
        <w:rPr>
          <w:rFonts w:ascii="仿宋_GB2312" w:hAnsi="仿宋_GB2312" w:eastAsia="仿宋_GB2312" w:cs="仿宋_GB2312"/>
          <w:bCs/>
          <w:color w:val="000000"/>
          <w:sz w:val="32"/>
          <w:szCs w:val="32"/>
        </w:rPr>
        <w:t xml:space="preserve">    </w:t>
      </w:r>
      <w:r>
        <w:rPr>
          <w:rFonts w:hint="eastAsia" w:ascii="仿宋_GB2312" w:hAnsi="仿宋_GB2312" w:eastAsia="仿宋_GB2312" w:cs="仿宋_GB2312"/>
          <w:bCs/>
          <w:color w:val="000000"/>
          <w:sz w:val="32"/>
          <w:szCs w:val="32"/>
          <w:lang w:val="en"/>
        </w:rPr>
        <w:t>（三）所称“Ⅰ类知识产权”包括发明专利（含国防专利）、 植物新品种、国家级农作物品种、国家新药、国家一级中药保护品种、集成电路布图设计专有权（均不包含转让未满1年的知识产权）。</w:t>
      </w:r>
    </w:p>
    <w:p w14:paraId="6DD02BE0">
      <w:pPr>
        <w:keepNext w:val="0"/>
        <w:keepLines w:val="0"/>
        <w:pageBreakBefore w:val="0"/>
        <w:kinsoku/>
        <w:wordWrap w:val="0"/>
        <w:overflowPunct/>
        <w:topLinePunct w:val="0"/>
        <w:autoSpaceDE/>
        <w:autoSpaceDN/>
        <w:bidi w:val="0"/>
        <w:adjustRightInd/>
        <w:snapToGrid/>
        <w:spacing w:line="560" w:lineRule="exact"/>
        <w:textAlignment w:val="auto"/>
        <w:rPr>
          <w:rFonts w:ascii="仿宋_GB2312" w:hAnsi="仿宋_GB2312" w:eastAsia="仿宋_GB2312" w:cs="仿宋_GB2312"/>
          <w:bCs/>
          <w:color w:val="000000"/>
          <w:sz w:val="32"/>
          <w:szCs w:val="32"/>
          <w:lang w:val="en"/>
        </w:rPr>
      </w:pPr>
      <w:r>
        <w:rPr>
          <w:rFonts w:ascii="仿宋_GB2312" w:hAnsi="仿宋_GB2312" w:eastAsia="仿宋_GB2312" w:cs="仿宋_GB2312"/>
          <w:bCs/>
          <w:color w:val="000000"/>
          <w:sz w:val="32"/>
          <w:szCs w:val="32"/>
        </w:rPr>
        <w:t xml:space="preserve">    </w:t>
      </w:r>
      <w:r>
        <w:rPr>
          <w:rFonts w:hint="eastAsia" w:ascii="仿宋_GB2312" w:hAnsi="仿宋_GB2312" w:eastAsia="仿宋_GB2312" w:cs="仿宋_GB2312"/>
          <w:bCs/>
          <w:color w:val="000000"/>
          <w:sz w:val="32"/>
          <w:szCs w:val="32"/>
          <w:lang w:val="en"/>
        </w:rPr>
        <w:t>（四）所称“Ⅰ类高价值知识产权”须符合以下条件之一：</w:t>
      </w:r>
    </w:p>
    <w:p w14:paraId="369D29FC">
      <w:pPr>
        <w:keepNext w:val="0"/>
        <w:keepLines w:val="0"/>
        <w:pageBreakBefore w:val="0"/>
        <w:kinsoku/>
        <w:wordWrap w:val="0"/>
        <w:overflowPunct/>
        <w:topLinePunct w:val="0"/>
        <w:autoSpaceDE/>
        <w:autoSpaceDN/>
        <w:bidi w:val="0"/>
        <w:adjustRightInd/>
        <w:snapToGrid/>
        <w:spacing w:line="560" w:lineRule="exact"/>
        <w:textAlignment w:val="auto"/>
        <w:rPr>
          <w:rFonts w:ascii="仿宋_GB2312" w:hAnsi="仿宋_GB2312" w:eastAsia="仿宋_GB2312" w:cs="仿宋_GB2312"/>
          <w:bCs/>
          <w:color w:val="000000"/>
          <w:sz w:val="32"/>
          <w:szCs w:val="32"/>
          <w:lang w:val="en"/>
        </w:rPr>
      </w:pPr>
      <w:r>
        <w:rPr>
          <w:rFonts w:ascii="仿宋_GB2312" w:hAnsi="仿宋_GB2312" w:eastAsia="仿宋_GB2312" w:cs="仿宋_GB2312"/>
          <w:bCs/>
          <w:color w:val="000000"/>
          <w:sz w:val="32"/>
          <w:szCs w:val="32"/>
        </w:rPr>
        <w:t xml:space="preserve">    </w:t>
      </w:r>
      <w:r>
        <w:rPr>
          <w:rFonts w:hint="eastAsia" w:ascii="仿宋_GB2312" w:hAnsi="仿宋_GB2312" w:eastAsia="仿宋_GB2312" w:cs="仿宋_GB2312"/>
          <w:bCs/>
          <w:color w:val="000000"/>
          <w:sz w:val="32"/>
          <w:szCs w:val="32"/>
          <w:lang w:val="en"/>
        </w:rPr>
        <w:t>1</w:t>
      </w:r>
      <w:r>
        <w:rPr>
          <w:rFonts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
        </w:rPr>
        <w:t>在海外有同族专利权的发明专利或在海外取得收入的其他Ⅰ类知识产权，其中专利限G20成员、新加坡以及欧洲专利局经实质审查后获得授权的发明专利。</w:t>
      </w:r>
    </w:p>
    <w:p w14:paraId="41E9CBFA">
      <w:pPr>
        <w:keepNext w:val="0"/>
        <w:keepLines w:val="0"/>
        <w:pageBreakBefore w:val="0"/>
        <w:kinsoku/>
        <w:wordWrap w:val="0"/>
        <w:overflowPunct/>
        <w:topLinePunct w:val="0"/>
        <w:autoSpaceDE/>
        <w:autoSpaceDN/>
        <w:bidi w:val="0"/>
        <w:adjustRightInd/>
        <w:snapToGrid/>
        <w:spacing w:line="560" w:lineRule="exact"/>
        <w:textAlignment w:val="auto"/>
        <w:rPr>
          <w:rFonts w:ascii="仿宋_GB2312" w:hAnsi="仿宋_GB2312" w:eastAsia="仿宋_GB2312" w:cs="仿宋_GB2312"/>
          <w:bCs/>
          <w:color w:val="000000"/>
          <w:sz w:val="32"/>
          <w:szCs w:val="32"/>
          <w:lang w:val="en"/>
        </w:rPr>
      </w:pPr>
      <w:r>
        <w:rPr>
          <w:rFonts w:ascii="仿宋_GB2312" w:hAnsi="仿宋_GB2312" w:eastAsia="仿宋_GB2312" w:cs="仿宋_GB2312"/>
          <w:bCs/>
          <w:color w:val="000000"/>
          <w:sz w:val="32"/>
          <w:szCs w:val="32"/>
        </w:rPr>
        <w:t xml:space="preserve">    </w:t>
      </w:r>
      <w:r>
        <w:rPr>
          <w:rFonts w:hint="eastAsia" w:ascii="仿宋_GB2312" w:hAnsi="仿宋_GB2312" w:eastAsia="仿宋_GB2312" w:cs="仿宋_GB2312"/>
          <w:bCs/>
          <w:color w:val="000000"/>
          <w:sz w:val="32"/>
          <w:szCs w:val="32"/>
          <w:lang w:val="en"/>
        </w:rPr>
        <w:t>2</w:t>
      </w:r>
      <w:r>
        <w:rPr>
          <w:rFonts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
        </w:rPr>
        <w:t>维持年限超过10年的Ⅰ类知识产权。</w:t>
      </w:r>
    </w:p>
    <w:p w14:paraId="72E6CBF1">
      <w:pPr>
        <w:keepNext w:val="0"/>
        <w:keepLines w:val="0"/>
        <w:pageBreakBefore w:val="0"/>
        <w:kinsoku/>
        <w:wordWrap w:val="0"/>
        <w:overflowPunct/>
        <w:topLinePunct w:val="0"/>
        <w:autoSpaceDE/>
        <w:autoSpaceDN/>
        <w:bidi w:val="0"/>
        <w:adjustRightInd/>
        <w:snapToGrid/>
        <w:spacing w:line="560" w:lineRule="exact"/>
        <w:textAlignment w:val="auto"/>
        <w:rPr>
          <w:rFonts w:ascii="仿宋_GB2312" w:hAnsi="仿宋_GB2312" w:eastAsia="仿宋_GB2312" w:cs="仿宋_GB2312"/>
          <w:bCs/>
          <w:color w:val="000000"/>
          <w:sz w:val="32"/>
          <w:szCs w:val="32"/>
          <w:lang w:val="en"/>
        </w:rPr>
      </w:pPr>
      <w:r>
        <w:rPr>
          <w:rFonts w:ascii="仿宋_GB2312" w:hAnsi="仿宋_GB2312" w:eastAsia="仿宋_GB2312" w:cs="仿宋_GB2312"/>
          <w:bCs/>
          <w:color w:val="000000"/>
          <w:sz w:val="32"/>
          <w:szCs w:val="32"/>
        </w:rPr>
        <w:t xml:space="preserve">    </w:t>
      </w:r>
      <w:r>
        <w:rPr>
          <w:rFonts w:hint="eastAsia" w:ascii="仿宋_GB2312" w:hAnsi="仿宋_GB2312" w:eastAsia="仿宋_GB2312" w:cs="仿宋_GB2312"/>
          <w:bCs/>
          <w:color w:val="000000"/>
          <w:sz w:val="32"/>
          <w:szCs w:val="32"/>
          <w:lang w:val="en"/>
        </w:rPr>
        <w:t>3</w:t>
      </w:r>
      <w:r>
        <w:rPr>
          <w:rFonts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
        </w:rPr>
        <w:t>实现较高质押融资金额的Ⅰ类知识产权。</w:t>
      </w:r>
    </w:p>
    <w:p w14:paraId="42A0443B">
      <w:pPr>
        <w:keepNext w:val="0"/>
        <w:keepLines w:val="0"/>
        <w:pageBreakBefore w:val="0"/>
        <w:kinsoku/>
        <w:wordWrap w:val="0"/>
        <w:overflowPunct/>
        <w:topLinePunct w:val="0"/>
        <w:autoSpaceDE/>
        <w:autoSpaceDN/>
        <w:bidi w:val="0"/>
        <w:adjustRightInd/>
        <w:snapToGrid/>
        <w:spacing w:line="560" w:lineRule="exact"/>
        <w:textAlignment w:val="auto"/>
        <w:rPr>
          <w:rFonts w:ascii="仿宋_GB2312" w:hAnsi="仿宋_GB2312" w:eastAsia="仿宋_GB2312" w:cs="仿宋_GB2312"/>
          <w:bCs/>
          <w:color w:val="000000"/>
          <w:sz w:val="32"/>
          <w:szCs w:val="32"/>
          <w:lang w:val="en"/>
        </w:rPr>
      </w:pPr>
      <w:r>
        <w:rPr>
          <w:rFonts w:ascii="仿宋_GB2312" w:hAnsi="仿宋_GB2312" w:eastAsia="仿宋_GB2312" w:cs="仿宋_GB2312"/>
          <w:bCs/>
          <w:color w:val="000000"/>
          <w:sz w:val="32"/>
          <w:szCs w:val="32"/>
        </w:rPr>
        <w:t xml:space="preserve">    </w:t>
      </w:r>
      <w:r>
        <w:rPr>
          <w:rFonts w:hint="eastAsia" w:ascii="仿宋_GB2312" w:hAnsi="仿宋_GB2312" w:eastAsia="仿宋_GB2312" w:cs="仿宋_GB2312"/>
          <w:bCs/>
          <w:color w:val="000000"/>
          <w:sz w:val="32"/>
          <w:szCs w:val="32"/>
          <w:lang w:val="en"/>
        </w:rPr>
        <w:t>4</w:t>
      </w:r>
      <w:r>
        <w:rPr>
          <w:rFonts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
        </w:rPr>
        <w:t>获得国家科学技术奖或中国专利奖的Ⅰ类知识产权。</w:t>
      </w:r>
    </w:p>
    <w:p w14:paraId="0BEE9396">
      <w:pPr>
        <w:keepNext w:val="0"/>
        <w:keepLines w:val="0"/>
        <w:pageBreakBefore w:val="0"/>
        <w:kinsoku/>
        <w:wordWrap w:val="0"/>
        <w:overflowPunct/>
        <w:topLinePunct w:val="0"/>
        <w:autoSpaceDE/>
        <w:autoSpaceDN/>
        <w:bidi w:val="0"/>
        <w:adjustRightInd/>
        <w:snapToGrid/>
        <w:spacing w:line="560" w:lineRule="exact"/>
        <w:textAlignment w:val="auto"/>
        <w:rPr>
          <w:rFonts w:ascii="仿宋_GB2312" w:hAnsi="仿宋_GB2312" w:eastAsia="仿宋_GB2312" w:cs="仿宋_GB2312"/>
          <w:bCs/>
          <w:color w:val="000000"/>
          <w:sz w:val="32"/>
          <w:szCs w:val="32"/>
          <w:lang w:val="en"/>
        </w:rPr>
      </w:pPr>
      <w:r>
        <w:rPr>
          <w:rFonts w:ascii="仿宋_GB2312" w:hAnsi="仿宋_GB2312" w:eastAsia="仿宋_GB2312" w:cs="仿宋_GB2312"/>
          <w:bCs/>
          <w:color w:val="000000"/>
          <w:sz w:val="32"/>
          <w:szCs w:val="32"/>
        </w:rPr>
        <w:t xml:space="preserve">    </w:t>
      </w:r>
      <w:r>
        <w:rPr>
          <w:rFonts w:hint="eastAsia" w:ascii="仿宋_GB2312" w:hAnsi="仿宋_GB2312" w:eastAsia="仿宋_GB2312" w:cs="仿宋_GB2312"/>
          <w:bCs/>
          <w:color w:val="000000"/>
          <w:sz w:val="32"/>
          <w:szCs w:val="32"/>
          <w:lang w:val="en"/>
        </w:rPr>
        <w:t>（五）所称“Ⅱ类知识产权”包括与主导产品相关的软件著作权（不含商标）、授权后维持超过2年的实用新型专利或外观设计专利（均不包含转让未满1年的知识产权）。</w:t>
      </w:r>
    </w:p>
    <w:p w14:paraId="373A83A6">
      <w:pPr>
        <w:keepNext w:val="0"/>
        <w:keepLines w:val="0"/>
        <w:pageBreakBefore w:val="0"/>
        <w:kinsoku/>
        <w:wordWrap w:val="0"/>
        <w:overflowPunct/>
        <w:topLinePunct w:val="0"/>
        <w:autoSpaceDE/>
        <w:autoSpaceDN/>
        <w:bidi w:val="0"/>
        <w:adjustRightInd/>
        <w:snapToGrid/>
        <w:spacing w:line="560" w:lineRule="exact"/>
        <w:textAlignment w:val="auto"/>
        <w:rPr>
          <w:rFonts w:ascii="仿宋_GB2312" w:hAnsi="仿宋_GB2312" w:eastAsia="仿宋_GB2312" w:cs="仿宋_GB2312"/>
          <w:bCs/>
          <w:color w:val="000000"/>
          <w:sz w:val="32"/>
          <w:szCs w:val="32"/>
          <w:lang w:val="en"/>
        </w:rPr>
      </w:pPr>
      <w:r>
        <w:rPr>
          <w:rFonts w:ascii="仿宋_GB2312" w:hAnsi="仿宋_GB2312" w:eastAsia="仿宋_GB2312" w:cs="仿宋_GB2312"/>
          <w:bCs/>
          <w:color w:val="000000"/>
          <w:sz w:val="32"/>
          <w:szCs w:val="32"/>
        </w:rPr>
        <w:t xml:space="preserve">    </w:t>
      </w:r>
      <w:r>
        <w:rPr>
          <w:rFonts w:hint="eastAsia" w:ascii="仿宋_GB2312" w:hAnsi="仿宋_GB2312" w:eastAsia="仿宋_GB2312" w:cs="仿宋_GB2312"/>
          <w:bCs/>
          <w:color w:val="000000"/>
          <w:sz w:val="32"/>
          <w:szCs w:val="32"/>
          <w:lang w:val="en"/>
        </w:rPr>
        <w:t>（六）所称“企业数字化转型水平”是指在优质中小企业梯度培育平台完成数字化水平免费自测，具体自测网址、相关标准等事宜，另行明确。</w:t>
      </w:r>
    </w:p>
    <w:p w14:paraId="08D25047">
      <w:pPr>
        <w:keepNext w:val="0"/>
        <w:keepLines w:val="0"/>
        <w:pageBreakBefore w:val="0"/>
        <w:kinsoku/>
        <w:wordWrap w:val="0"/>
        <w:overflowPunct/>
        <w:topLinePunct w:val="0"/>
        <w:autoSpaceDE/>
        <w:autoSpaceDN/>
        <w:bidi w:val="0"/>
        <w:adjustRightInd/>
        <w:snapToGrid/>
        <w:spacing w:line="560" w:lineRule="exact"/>
        <w:textAlignment w:val="auto"/>
        <w:rPr>
          <w:rFonts w:ascii="仿宋_GB2312" w:hAnsi="仿宋_GB2312" w:eastAsia="仿宋_GB2312" w:cs="仿宋_GB2312"/>
          <w:bCs/>
          <w:color w:val="000000"/>
          <w:sz w:val="32"/>
          <w:szCs w:val="32"/>
          <w:lang w:val="en"/>
        </w:rPr>
      </w:pPr>
      <w:r>
        <w:rPr>
          <w:rFonts w:ascii="仿宋_GB2312" w:hAnsi="仿宋_GB2312" w:eastAsia="仿宋_GB2312" w:cs="仿宋_GB2312"/>
          <w:bCs/>
          <w:color w:val="000000"/>
          <w:sz w:val="32"/>
          <w:szCs w:val="32"/>
        </w:rPr>
        <w:t xml:space="preserve">    </w:t>
      </w:r>
      <w:r>
        <w:rPr>
          <w:rFonts w:hint="eastAsia" w:ascii="仿宋_GB2312" w:hAnsi="仿宋_GB2312" w:eastAsia="仿宋_GB2312" w:cs="仿宋_GB2312"/>
          <w:bCs/>
          <w:color w:val="000000"/>
          <w:sz w:val="32"/>
          <w:szCs w:val="32"/>
          <w:lang w:val="en"/>
        </w:rPr>
        <w:t>（七）所称“重大安全（含网络安全、数据安全）、质量、环境污染等事故”是指产品安全、生产安全、工程质量安全、环境保护、网络安全等各级监管部门，依据《中华人民共和国安全生产法》《中华人民共和国环境保护法》《生产安全事故报告和调查处理条例》《中华人民共和国网络安全法》《中华人民共和国数据安全法》等法律法规，最高人民法院、最高人民检察院司法解释，部门规章以及地方法规等出具的判定意见。</w:t>
      </w:r>
    </w:p>
    <w:p w14:paraId="0C6DEC6E">
      <w:pPr>
        <w:keepNext w:val="0"/>
        <w:keepLines w:val="0"/>
        <w:pageBreakBefore w:val="0"/>
        <w:kinsoku/>
        <w:wordWrap w:val="0"/>
        <w:overflowPunct/>
        <w:topLinePunct w:val="0"/>
        <w:autoSpaceDE/>
        <w:autoSpaceDN/>
        <w:bidi w:val="0"/>
        <w:adjustRightInd/>
        <w:snapToGrid/>
        <w:spacing w:line="560" w:lineRule="exact"/>
        <w:textAlignment w:val="auto"/>
        <w:rPr>
          <w:rFonts w:ascii="仿宋_GB2312" w:hAnsi="仿宋_GB2312" w:eastAsia="仿宋_GB2312" w:cs="仿宋_GB2312"/>
          <w:bCs/>
          <w:color w:val="000000"/>
          <w:sz w:val="32"/>
          <w:szCs w:val="32"/>
          <w:lang w:val="en"/>
        </w:rPr>
      </w:pPr>
      <w:r>
        <w:rPr>
          <w:rFonts w:ascii="仿宋_GB2312" w:hAnsi="仿宋_GB2312" w:eastAsia="仿宋_GB2312" w:cs="仿宋_GB2312"/>
          <w:bCs/>
          <w:color w:val="000000"/>
          <w:sz w:val="32"/>
          <w:szCs w:val="32"/>
        </w:rPr>
        <w:t xml:space="preserve">    </w:t>
      </w:r>
      <w:r>
        <w:rPr>
          <w:rFonts w:hint="eastAsia" w:ascii="仿宋_GB2312" w:hAnsi="仿宋_GB2312" w:eastAsia="仿宋_GB2312" w:cs="仿宋_GB2312"/>
          <w:bCs/>
          <w:color w:val="000000"/>
          <w:sz w:val="32"/>
          <w:szCs w:val="32"/>
          <w:lang w:val="en"/>
        </w:rPr>
        <w:t>（八）所称“股权融资”是指公司股东稀释部分公司股权给投资人，以增资扩股（出让股权不超过30%）的方式引进新的股东，从而取得公司融资的方式。</w:t>
      </w:r>
    </w:p>
    <w:p w14:paraId="1B979D99">
      <w:pPr>
        <w:keepNext w:val="0"/>
        <w:keepLines w:val="0"/>
        <w:pageBreakBefore w:val="0"/>
        <w:kinsoku/>
        <w:wordWrap w:val="0"/>
        <w:overflowPunct/>
        <w:topLinePunct w:val="0"/>
        <w:autoSpaceDE/>
        <w:autoSpaceDN/>
        <w:bidi w:val="0"/>
        <w:adjustRightInd/>
        <w:snapToGrid/>
        <w:spacing w:line="560" w:lineRule="exact"/>
        <w:textAlignment w:val="auto"/>
        <w:rPr>
          <w:rFonts w:ascii="仿宋_GB2312" w:hAnsi="仿宋_GB2312" w:eastAsia="仿宋_GB2312" w:cs="仿宋_GB2312"/>
          <w:bCs/>
          <w:color w:val="000000"/>
          <w:sz w:val="32"/>
          <w:szCs w:val="32"/>
          <w:lang w:val="en"/>
        </w:rPr>
      </w:pPr>
      <w:r>
        <w:rPr>
          <w:rFonts w:ascii="仿宋_GB2312" w:hAnsi="仿宋_GB2312" w:eastAsia="仿宋_GB2312" w:cs="仿宋_GB2312"/>
          <w:bCs/>
          <w:color w:val="000000"/>
          <w:sz w:val="32"/>
          <w:szCs w:val="32"/>
        </w:rPr>
        <w:t xml:space="preserve">    </w:t>
      </w:r>
      <w:r>
        <w:rPr>
          <w:rFonts w:hint="eastAsia" w:ascii="仿宋_GB2312" w:hAnsi="仿宋_GB2312" w:eastAsia="仿宋_GB2312" w:cs="仿宋_GB2312"/>
          <w:bCs/>
          <w:color w:val="000000"/>
          <w:sz w:val="32"/>
          <w:szCs w:val="32"/>
          <w:lang w:val="en"/>
        </w:rPr>
        <w:t>（九）所称“合格机构投资者”是指符合《创业投资企业管理暂行办法》（发展改革委等10部门令第39号）或者《私募投资基金监督管理暂行办法》（证监会令第105号）相关规定，按照上述规定完成备案且规范运作的创业投资基金及私募股权投资基金。</w:t>
      </w:r>
    </w:p>
    <w:p w14:paraId="4EA9CBB9">
      <w:pPr>
        <w:keepNext w:val="0"/>
        <w:keepLines w:val="0"/>
        <w:pageBreakBefore w:val="0"/>
        <w:kinsoku/>
        <w:wordWrap w:val="0"/>
        <w:overflowPunct/>
        <w:topLinePunct w:val="0"/>
        <w:autoSpaceDE/>
        <w:autoSpaceDN/>
        <w:bidi w:val="0"/>
        <w:adjustRightInd/>
        <w:snapToGrid/>
        <w:spacing w:line="560" w:lineRule="exact"/>
        <w:textAlignment w:val="auto"/>
        <w:rPr>
          <w:rFonts w:ascii="仿宋_GB2312" w:hAnsi="仿宋_GB2312" w:eastAsia="仿宋_GB2312" w:cs="仿宋_GB2312"/>
          <w:bCs/>
          <w:color w:val="000000"/>
          <w:sz w:val="32"/>
          <w:szCs w:val="32"/>
          <w:lang w:val="en"/>
        </w:rPr>
      </w:pPr>
      <w:r>
        <w:rPr>
          <w:rFonts w:ascii="仿宋_GB2312" w:hAnsi="仿宋_GB2312" w:eastAsia="仿宋_GB2312" w:cs="仿宋_GB2312"/>
          <w:bCs/>
          <w:color w:val="000000"/>
          <w:sz w:val="32"/>
          <w:szCs w:val="32"/>
        </w:rPr>
        <w:t xml:space="preserve">    </w:t>
      </w:r>
      <w:r>
        <w:rPr>
          <w:rFonts w:hint="eastAsia" w:ascii="仿宋_GB2312" w:hAnsi="仿宋_GB2312" w:eastAsia="仿宋_GB2312" w:cs="仿宋_GB2312"/>
          <w:bCs/>
          <w:color w:val="000000"/>
          <w:sz w:val="32"/>
          <w:szCs w:val="32"/>
          <w:lang w:val="en"/>
        </w:rPr>
        <w:t>（十）所称“主导产品”是指企业核心技术在产品中发挥重要作用，且产品收入之和占企业同期营业收入比重超过 50%。</w:t>
      </w:r>
    </w:p>
    <w:p w14:paraId="39044E1F">
      <w:pPr>
        <w:keepNext w:val="0"/>
        <w:keepLines w:val="0"/>
        <w:pageBreakBefore w:val="0"/>
        <w:kinsoku/>
        <w:wordWrap w:val="0"/>
        <w:overflowPunct/>
        <w:topLinePunct w:val="0"/>
        <w:autoSpaceDE/>
        <w:autoSpaceDN/>
        <w:bidi w:val="0"/>
        <w:adjustRightInd/>
        <w:snapToGrid/>
        <w:spacing w:line="560" w:lineRule="exact"/>
        <w:textAlignment w:val="auto"/>
        <w:rPr>
          <w:rFonts w:ascii="仿宋_GB2312" w:hAnsi="仿宋_GB2312" w:eastAsia="仿宋_GB2312" w:cs="仿宋_GB2312"/>
          <w:bCs/>
          <w:color w:val="000000"/>
          <w:sz w:val="32"/>
          <w:szCs w:val="32"/>
          <w:lang w:val="en"/>
        </w:rPr>
      </w:pPr>
      <w:r>
        <w:rPr>
          <w:rFonts w:ascii="仿宋_GB2312" w:hAnsi="仿宋_GB2312" w:eastAsia="仿宋_GB2312" w:cs="仿宋_GB2312"/>
          <w:bCs/>
          <w:color w:val="000000"/>
          <w:sz w:val="32"/>
          <w:szCs w:val="32"/>
        </w:rPr>
        <w:t xml:space="preserve">    </w:t>
      </w:r>
      <w:r>
        <w:rPr>
          <w:rFonts w:hint="eastAsia" w:ascii="仿宋_GB2312" w:hAnsi="仿宋_GB2312" w:eastAsia="仿宋_GB2312" w:cs="仿宋_GB2312"/>
          <w:bCs/>
          <w:color w:val="000000"/>
          <w:sz w:val="32"/>
          <w:szCs w:val="32"/>
          <w:lang w:val="en"/>
        </w:rPr>
        <w:t>（十一）所称“主导产品在全国细分市场占有率达10%以上，且享有较高知名度和影响力”可通过企业自证或其他方式佐证。</w:t>
      </w:r>
    </w:p>
    <w:p w14:paraId="4B9CAC77">
      <w:pPr>
        <w:keepNext w:val="0"/>
        <w:keepLines w:val="0"/>
        <w:pageBreakBefore w:val="0"/>
        <w:kinsoku/>
        <w:wordWrap w:val="0"/>
        <w:overflowPunct/>
        <w:topLinePunct w:val="0"/>
        <w:autoSpaceDE/>
        <w:autoSpaceDN/>
        <w:bidi w:val="0"/>
        <w:adjustRightInd/>
        <w:snapToGrid/>
        <w:spacing w:line="560" w:lineRule="exact"/>
        <w:textAlignment w:val="auto"/>
        <w:rPr>
          <w:rFonts w:ascii="仿宋_GB2312" w:hAnsi="仿宋_GB2312" w:eastAsia="仿宋_GB2312" w:cs="仿宋_GB2312"/>
          <w:bCs/>
          <w:color w:val="000000"/>
          <w:sz w:val="32"/>
          <w:szCs w:val="32"/>
          <w:lang w:val="en"/>
        </w:rPr>
      </w:pPr>
      <w:r>
        <w:rPr>
          <w:rFonts w:ascii="仿宋_GB2312" w:hAnsi="仿宋_GB2312" w:eastAsia="仿宋_GB2312" w:cs="仿宋_GB2312"/>
          <w:bCs/>
          <w:color w:val="000000"/>
          <w:sz w:val="32"/>
          <w:szCs w:val="32"/>
        </w:rPr>
        <w:t xml:space="preserve">    </w:t>
      </w:r>
      <w:r>
        <w:rPr>
          <w:rFonts w:hint="eastAsia" w:ascii="仿宋_GB2312" w:hAnsi="仿宋_GB2312" w:eastAsia="仿宋_GB2312" w:cs="仿宋_GB2312"/>
          <w:bCs/>
          <w:color w:val="000000"/>
          <w:sz w:val="32"/>
          <w:szCs w:val="32"/>
          <w:lang w:val="en"/>
        </w:rPr>
        <w:t>（十二）所称“省级科技奖励”包括各省、自治区、直辖市科学技术奖的一、二、三等奖；“国家级科技奖励”包括国家科学技术进步奖、国家自然科学奖、国家技术发明奖，以及国防科技奖。</w:t>
      </w:r>
    </w:p>
    <w:p w14:paraId="21B7283C">
      <w:pPr>
        <w:keepNext w:val="0"/>
        <w:keepLines w:val="0"/>
        <w:pageBreakBefore w:val="0"/>
        <w:kinsoku/>
        <w:wordWrap w:val="0"/>
        <w:overflowPunct/>
        <w:topLinePunct w:val="0"/>
        <w:autoSpaceDE/>
        <w:autoSpaceDN/>
        <w:bidi w:val="0"/>
        <w:adjustRightInd/>
        <w:snapToGrid/>
        <w:spacing w:line="560" w:lineRule="exact"/>
        <w:textAlignment w:val="auto"/>
        <w:rPr>
          <w:rFonts w:ascii="仿宋_GB2312" w:hAnsi="仿宋_GB2312" w:eastAsia="仿宋_GB2312" w:cs="仿宋_GB2312"/>
          <w:bCs/>
          <w:color w:val="000000"/>
          <w:sz w:val="32"/>
          <w:szCs w:val="32"/>
          <w:lang w:val="en"/>
        </w:rPr>
      </w:pPr>
      <w:r>
        <w:rPr>
          <w:rFonts w:ascii="仿宋_GB2312" w:hAnsi="仿宋_GB2312" w:eastAsia="仿宋_GB2312" w:cs="仿宋_GB2312"/>
          <w:bCs/>
          <w:color w:val="000000"/>
          <w:sz w:val="32"/>
          <w:szCs w:val="32"/>
        </w:rPr>
        <w:t xml:space="preserve">    </w:t>
      </w:r>
      <w:r>
        <w:rPr>
          <w:rFonts w:hint="eastAsia" w:ascii="仿宋_GB2312" w:hAnsi="仿宋_GB2312" w:eastAsia="仿宋_GB2312" w:cs="仿宋_GB2312"/>
          <w:bCs/>
          <w:color w:val="000000"/>
          <w:sz w:val="32"/>
          <w:szCs w:val="32"/>
          <w:lang w:val="en"/>
        </w:rPr>
        <w:t>（十三）如无特殊说明，所称“以上”、“以下”，包括本数；所称的“超过”</w:t>
      </w:r>
      <w:r>
        <w:rPr>
          <w:rFonts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
        </w:rPr>
        <w:t>不包括本数。在计算评价指标得分时，如指标值位于两个评分区间边界上，按高分计算得分。</w:t>
      </w:r>
    </w:p>
    <w:p w14:paraId="46BF34EC">
      <w:pPr>
        <w:keepNext w:val="0"/>
        <w:keepLines w:val="0"/>
        <w:pageBreakBefore w:val="0"/>
        <w:kinsoku/>
        <w:wordWrap w:val="0"/>
        <w:overflowPunct/>
        <w:topLinePunct w:val="0"/>
        <w:autoSpaceDE/>
        <w:autoSpaceDN/>
        <w:bidi w:val="0"/>
        <w:adjustRightInd/>
        <w:snapToGrid/>
        <w:spacing w:line="560" w:lineRule="exact"/>
        <w:textAlignment w:val="auto"/>
        <w:rPr>
          <w:rFonts w:ascii="仿宋_GB2312" w:hAnsi="仿宋_GB2312" w:eastAsia="仿宋_GB2312" w:cs="仿宋_GB2312"/>
          <w:bCs/>
          <w:color w:val="000000"/>
          <w:sz w:val="32"/>
          <w:szCs w:val="32"/>
          <w:lang w:val="en"/>
        </w:rPr>
      </w:pPr>
      <w:r>
        <w:rPr>
          <w:rFonts w:ascii="仿宋_GB2312" w:hAnsi="仿宋_GB2312" w:eastAsia="仿宋_GB2312" w:cs="仿宋_GB2312"/>
          <w:bCs/>
          <w:color w:val="000000"/>
          <w:sz w:val="32"/>
          <w:szCs w:val="32"/>
        </w:rPr>
        <w:t xml:space="preserve">    </w:t>
      </w:r>
      <w:r>
        <w:rPr>
          <w:rFonts w:hint="eastAsia" w:ascii="仿宋_GB2312" w:hAnsi="仿宋_GB2312" w:eastAsia="仿宋_GB2312" w:cs="仿宋_GB2312"/>
          <w:bCs/>
          <w:color w:val="000000"/>
          <w:sz w:val="32"/>
          <w:szCs w:val="32"/>
          <w:lang w:val="en"/>
        </w:rPr>
        <w:t>（十四）本办法部分指标计算公式</w:t>
      </w:r>
    </w:p>
    <w:p w14:paraId="08C25EE3">
      <w:pPr>
        <w:keepNext w:val="0"/>
        <w:keepLines w:val="0"/>
        <w:pageBreakBefore w:val="0"/>
        <w:kinsoku/>
        <w:wordWrap w:val="0"/>
        <w:overflowPunct/>
        <w:topLinePunct w:val="0"/>
        <w:autoSpaceDE/>
        <w:autoSpaceDN/>
        <w:bidi w:val="0"/>
        <w:adjustRightInd/>
        <w:snapToGrid/>
        <w:spacing w:line="560" w:lineRule="exact"/>
        <w:textAlignment w:val="auto"/>
        <w:rPr>
          <w:rFonts w:ascii="仿宋_GB2312" w:hAnsi="仿宋_GB2312" w:eastAsia="仿宋_GB2312" w:cs="仿宋_GB2312"/>
          <w:bCs/>
          <w:color w:val="000000"/>
          <w:sz w:val="32"/>
          <w:szCs w:val="32"/>
          <w:lang w:val="en"/>
        </w:rPr>
      </w:pPr>
      <w:r>
        <w:rPr>
          <w:rFonts w:ascii="仿宋_GB2312" w:hAnsi="仿宋_GB2312" w:eastAsia="仿宋_GB2312" w:cs="仿宋_GB2312"/>
          <w:bCs/>
          <w:color w:val="000000"/>
          <w:sz w:val="32"/>
          <w:szCs w:val="32"/>
        </w:rPr>
        <w:t xml:space="preserve">    </w:t>
      </w:r>
      <w:r>
        <w:rPr>
          <w:rFonts w:hint="eastAsia" w:ascii="仿宋_GB2312" w:hAnsi="仿宋_GB2312" w:eastAsia="仿宋_GB2312" w:cs="仿宋_GB2312"/>
          <w:bCs/>
          <w:color w:val="000000"/>
          <w:sz w:val="32"/>
          <w:szCs w:val="32"/>
          <w:lang w:val="en"/>
        </w:rPr>
        <w:t>近2年主营业务收入平均增长率=（企业上一年度主营业务收入增长率+企业上上年度主营业务收入增长率）/2。</w:t>
      </w:r>
    </w:p>
    <w:p w14:paraId="5E8B8761">
      <w:pPr>
        <w:keepNext w:val="0"/>
        <w:keepLines w:val="0"/>
        <w:pageBreakBefore w:val="0"/>
        <w:kinsoku/>
        <w:wordWrap w:val="0"/>
        <w:overflowPunct/>
        <w:topLinePunct w:val="0"/>
        <w:autoSpaceDE/>
        <w:autoSpaceDN/>
        <w:bidi w:val="0"/>
        <w:adjustRightInd/>
        <w:snapToGrid/>
        <w:spacing w:line="560" w:lineRule="exact"/>
        <w:textAlignment w:val="auto"/>
        <w:rPr>
          <w:rFonts w:ascii="仿宋_GB2312" w:hAnsi="仿宋_GB2312" w:eastAsia="仿宋_GB2312" w:cs="仿宋_GB2312"/>
          <w:bCs/>
          <w:color w:val="000000"/>
          <w:sz w:val="32"/>
          <w:szCs w:val="32"/>
          <w:lang w:val="en"/>
        </w:rPr>
      </w:pPr>
      <w:r>
        <w:rPr>
          <w:rFonts w:ascii="仿宋_GB2312" w:hAnsi="仿宋_GB2312" w:eastAsia="仿宋_GB2312" w:cs="仿宋_GB2312"/>
          <w:bCs/>
          <w:color w:val="000000"/>
          <w:sz w:val="32"/>
          <w:szCs w:val="32"/>
        </w:rPr>
        <w:t xml:space="preserve">    </w:t>
      </w:r>
      <w:r>
        <w:rPr>
          <w:rFonts w:hint="eastAsia" w:ascii="仿宋_GB2312" w:hAnsi="仿宋_GB2312" w:eastAsia="仿宋_GB2312" w:cs="仿宋_GB2312"/>
          <w:bCs/>
          <w:color w:val="000000"/>
          <w:sz w:val="32"/>
          <w:szCs w:val="32"/>
          <w:lang w:val="en"/>
        </w:rPr>
        <w:t>企业上一年度主营业务收入增长率=（企业上一年度主营业务收入总额-企业上上年度主营业务收入总额）/企业上上年度主营业务收入总额*100%。其他年度主营业务收入增长率计算方法以此类推。</w:t>
      </w:r>
    </w:p>
    <w:p w14:paraId="6AF44D52">
      <w:pPr>
        <w:keepNext w:val="0"/>
        <w:keepLines w:val="0"/>
        <w:pageBreakBefore w:val="0"/>
        <w:widowControl w:val="0"/>
        <w:kinsoku/>
        <w:wordWrap w:val="0"/>
        <w:overflowPunct/>
        <w:topLinePunct w:val="0"/>
        <w:autoSpaceDE/>
        <w:autoSpaceDN/>
        <w:bidi w:val="0"/>
        <w:adjustRightInd/>
        <w:snapToGrid/>
        <w:spacing w:line="560" w:lineRule="exact"/>
        <w:textAlignment w:val="auto"/>
        <w:rPr>
          <w:rFonts w:ascii="仿宋_GB2312" w:hAnsi="仿宋_GB2312" w:eastAsia="仿宋_GB2312" w:cs="仿宋_GB2312"/>
          <w:bCs/>
          <w:color w:val="000000"/>
          <w:sz w:val="32"/>
          <w:szCs w:val="32"/>
          <w:lang w:val="en"/>
        </w:rPr>
      </w:pPr>
      <w:r>
        <w:rPr>
          <w:rFonts w:ascii="仿宋_GB2312" w:hAnsi="仿宋_GB2312" w:eastAsia="仿宋_GB2312" w:cs="仿宋_GB2312"/>
          <w:bCs/>
          <w:color w:val="000000"/>
          <w:sz w:val="32"/>
          <w:szCs w:val="32"/>
        </w:rPr>
        <w:t xml:space="preserve">    </w:t>
      </w:r>
      <w:r>
        <w:rPr>
          <w:rFonts w:hint="eastAsia" w:ascii="仿宋_GB2312" w:hAnsi="仿宋_GB2312" w:eastAsia="仿宋_GB2312" w:cs="仿宋_GB2312"/>
          <w:bCs/>
          <w:color w:val="000000"/>
          <w:sz w:val="32"/>
          <w:szCs w:val="32"/>
          <w:lang w:val="en"/>
        </w:rPr>
        <w:t>（十五）所称“被列入经营异常名录”以国家企业信用信息公示系统（http://www.gsxt.gov.cn）查询结果为准；所称“严重失信主体名单”以信用中国（http://www.creditchina.gov.cn）查询结果为准。</w:t>
      </w:r>
    </w:p>
    <w:p w14:paraId="23C46FFE">
      <w:pPr>
        <w:keepNext w:val="0"/>
        <w:keepLines w:val="0"/>
        <w:pageBreakBefore w:val="0"/>
        <w:widowControl w:val="0"/>
        <w:kinsoku/>
        <w:overflowPunct/>
        <w:topLinePunct w:val="0"/>
        <w:autoSpaceDE/>
        <w:autoSpaceDN/>
        <w:bidi w:val="0"/>
        <w:adjustRightInd w:val="0"/>
        <w:snapToGrid w:val="0"/>
        <w:spacing w:line="560" w:lineRule="exact"/>
        <w:ind w:firstLine="640"/>
        <w:textAlignment w:val="auto"/>
        <w:rPr>
          <w:rFonts w:hint="eastAsia" w:ascii="仿宋_GB2312" w:hAnsi="仿宋_GB2312" w:eastAsia="仿宋_GB2312" w:cs="仿宋_GB2312"/>
          <w:bCs/>
          <w:color w:val="000000"/>
          <w:sz w:val="32"/>
          <w:szCs w:val="32"/>
          <w:highlight w:val="none"/>
          <w:lang w:val="en"/>
        </w:rPr>
      </w:pPr>
      <w:r>
        <w:rPr>
          <w:rFonts w:hint="eastAsia" w:ascii="仿宋_GB2312" w:hAnsi="仿宋_GB2312" w:eastAsia="仿宋_GB2312" w:cs="仿宋_GB2312"/>
          <w:bCs/>
          <w:color w:val="000000"/>
          <w:sz w:val="32"/>
          <w:szCs w:val="32"/>
          <w:highlight w:val="none"/>
          <w:lang w:eastAsia="zh-CN"/>
        </w:rPr>
        <w:t>（</w:t>
      </w:r>
      <w:r>
        <w:rPr>
          <w:rFonts w:hint="eastAsia" w:ascii="仿宋_GB2312" w:hAnsi="仿宋_GB2312" w:eastAsia="仿宋_GB2312" w:cs="仿宋_GB2312"/>
          <w:bCs/>
          <w:color w:val="000000"/>
          <w:sz w:val="32"/>
          <w:szCs w:val="32"/>
          <w:highlight w:val="none"/>
          <w:lang w:val="en"/>
        </w:rPr>
        <w:t>十六）所称“创客中国”中小企业创新创业大赛全国500强、50强企业组名单是指该大赛</w:t>
      </w:r>
      <w:r>
        <w:rPr>
          <w:rFonts w:hint="eastAsia" w:ascii="仿宋_GB2312" w:hAnsi="仿宋_GB2312" w:eastAsia="仿宋_GB2312" w:cs="仿宋_GB2312"/>
          <w:bCs/>
          <w:color w:val="000000"/>
          <w:sz w:val="32"/>
          <w:szCs w:val="32"/>
          <w:highlight w:val="none"/>
          <w:lang w:val="en-US" w:eastAsia="zh-CN"/>
        </w:rPr>
        <w:t>近三</w:t>
      </w:r>
      <w:r>
        <w:rPr>
          <w:rFonts w:hint="eastAsia" w:ascii="仿宋_GB2312" w:hAnsi="仿宋_GB2312" w:eastAsia="仿宋_GB2312" w:cs="仿宋_GB2312"/>
          <w:bCs/>
          <w:color w:val="000000"/>
          <w:sz w:val="32"/>
          <w:szCs w:val="32"/>
          <w:highlight w:val="none"/>
          <w:lang w:val="en"/>
        </w:rPr>
        <w:t>年以来正式发布的名单。</w:t>
      </w:r>
    </w:p>
    <w:p w14:paraId="2A3AC725">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Cs/>
          <w:color w:val="000000"/>
          <w:kern w:val="2"/>
          <w:sz w:val="32"/>
          <w:szCs w:val="32"/>
          <w:highlight w:val="none"/>
          <w:lang w:val="en-US" w:eastAsia="zh-CN" w:bidi="ar-SA"/>
        </w:rPr>
      </w:pPr>
      <w:r>
        <w:rPr>
          <w:rFonts w:hint="eastAsia" w:ascii="仿宋_GB2312" w:hAnsi="仿宋_GB2312" w:eastAsia="仿宋_GB2312" w:cs="仿宋_GB2312"/>
          <w:bCs/>
          <w:color w:val="000000"/>
          <w:kern w:val="2"/>
          <w:sz w:val="32"/>
          <w:szCs w:val="32"/>
          <w:highlight w:val="none"/>
          <w:lang w:val="en" w:eastAsia="zh-CN" w:bidi="ar-SA"/>
        </w:rPr>
        <w:t>（</w:t>
      </w:r>
      <w:r>
        <w:rPr>
          <w:rFonts w:hint="eastAsia" w:ascii="仿宋_GB2312" w:hAnsi="仿宋_GB2312" w:eastAsia="仿宋_GB2312" w:cs="仿宋_GB2312"/>
          <w:bCs/>
          <w:color w:val="000000"/>
          <w:kern w:val="2"/>
          <w:sz w:val="32"/>
          <w:szCs w:val="32"/>
          <w:highlight w:val="none"/>
          <w:lang w:val="en-US" w:eastAsia="zh-CN" w:bidi="ar-SA"/>
        </w:rPr>
        <w:t>十七</w:t>
      </w:r>
      <w:r>
        <w:rPr>
          <w:rFonts w:hint="eastAsia" w:ascii="仿宋_GB2312" w:hAnsi="仿宋_GB2312" w:eastAsia="仿宋_GB2312" w:cs="仿宋_GB2312"/>
          <w:bCs/>
          <w:color w:val="000000"/>
          <w:kern w:val="2"/>
          <w:sz w:val="32"/>
          <w:szCs w:val="32"/>
          <w:highlight w:val="none"/>
          <w:lang w:val="en" w:eastAsia="zh-CN" w:bidi="ar-SA"/>
        </w:rPr>
        <w:t>）</w:t>
      </w:r>
      <w:r>
        <w:rPr>
          <w:rFonts w:hint="eastAsia" w:ascii="仿宋_GB2312" w:hAnsi="仿宋_GB2312" w:eastAsia="仿宋_GB2312" w:cs="仿宋_GB2312"/>
          <w:bCs/>
          <w:color w:val="000000"/>
          <w:kern w:val="2"/>
          <w:sz w:val="32"/>
          <w:szCs w:val="32"/>
          <w:highlight w:val="none"/>
          <w:lang w:val="en-US" w:eastAsia="zh-CN" w:bidi="ar-SA"/>
        </w:rPr>
        <w:t>所称“优促计划”是指由北京市卫生健康委主办的“首都医学科技创新成果转化优促计划”，以医疗机构为创新主体的省部级医学科技创新成果转化类项目，分为赋能项目、潜力项目、培育项目、储备项目。</w:t>
      </w:r>
    </w:p>
    <w:p w14:paraId="4DC5B39E">
      <w:pPr>
        <w:keepNext w:val="0"/>
        <w:keepLines w:val="0"/>
        <w:pageBreakBefore w:val="0"/>
        <w:kinsoku/>
        <w:wordWrap w:val="0"/>
        <w:overflowPunct/>
        <w:topLinePunct w:val="0"/>
        <w:autoSpaceDE/>
        <w:autoSpaceDN/>
        <w:bidi w:val="0"/>
        <w:adjustRightInd/>
        <w:snapToGrid/>
        <w:spacing w:line="560" w:lineRule="exact"/>
        <w:textAlignment w:val="auto"/>
        <w:rPr>
          <w:highlight w:val="none"/>
        </w:rPr>
      </w:pPr>
    </w:p>
    <w:sectPr>
      <w:footerReference r:id="rId3" w:type="default"/>
      <w:pgSz w:w="11906" w:h="16838"/>
      <w:pgMar w:top="2098" w:right="1474" w:bottom="1984"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45A9878-251A-468F-84C5-A30373FAB9E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新魏">
    <w:panose1 w:val="02010800040101010101"/>
    <w:charset w:val="86"/>
    <w:family w:val="auto"/>
    <w:pitch w:val="default"/>
    <w:sig w:usb0="00000001" w:usb1="080F0000" w:usb2="00000000" w:usb3="00000000" w:csb0="00040000" w:csb1="00000000"/>
  </w:font>
  <w:font w:name="Calibri Light">
    <w:panose1 w:val="020F0302020204030204"/>
    <w:charset w:val="00"/>
    <w:family w:val="auto"/>
    <w:pitch w:val="default"/>
    <w:sig w:usb0="E4002EFF" w:usb1="C200247B" w:usb2="00000009" w:usb3="00000000" w:csb0="200001FF" w:csb1="00000000"/>
  </w:font>
  <w:font w:name="DejaVu Sans">
    <w:altName w:val="Segoe Print"/>
    <w:panose1 w:val="020B0603030804020204"/>
    <w:charset w:val="00"/>
    <w:family w:val="roman"/>
    <w:pitch w:val="default"/>
    <w:sig w:usb0="E7006EFF" w:usb1="D200FDFF" w:usb2="0A246029" w:usb3="0400200C" w:csb0="600001FF" w:csb1="DFFF0000"/>
  </w:font>
  <w:font w:name="方正小标宋简体">
    <w:panose1 w:val="03000509000000000000"/>
    <w:charset w:val="86"/>
    <w:family w:val="auto"/>
    <w:pitch w:val="default"/>
    <w:sig w:usb0="00000001" w:usb1="080E0000" w:usb2="00000000" w:usb3="00000000" w:csb0="00040000" w:csb1="00000000"/>
    <w:embedRegular r:id="rId2" w:fontKey="{C221CA47-EB99-43B6-A4D4-83D24BEE6869}"/>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3" w:fontKey="{5277920E-C6C2-4F55-AEC3-77BBC630E1E6}"/>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6733BD">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64135" cy="137795"/>
              <wp:effectExtent l="0" t="0" r="0" b="0"/>
              <wp:wrapNone/>
              <wp:docPr id="1" name="文本框 1"/>
              <wp:cNvGraphicFramePr/>
              <a:graphic xmlns:a="http://schemas.openxmlformats.org/drawingml/2006/main">
                <a:graphicData uri="http://schemas.microsoft.com/office/word/2010/wordprocessingShape">
                  <wps:wsp>
                    <wps:cNvSpPr txBox="1"/>
                    <wps:spPr>
                      <a:xfrm>
                        <a:off x="0" y="0"/>
                        <a:ext cx="64135" cy="137795"/>
                      </a:xfrm>
                      <a:prstGeom prst="rect">
                        <a:avLst/>
                      </a:prstGeom>
                      <a:noFill/>
                      <a:ln w="6350">
                        <a:noFill/>
                      </a:ln>
                    </wps:spPr>
                    <wps:txbx>
                      <w:txbxContent>
                        <w:p w14:paraId="35E9A215">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1">
                      <a:spAutoFit/>
                    </wps:bodyPr>
                  </wps:wsp>
                </a:graphicData>
              </a:graphic>
            </wp:anchor>
          </w:drawing>
        </mc:Choice>
        <mc:Fallback>
          <w:pict>
            <v:shape id="_x0000_s1026" o:spid="_x0000_s1026" o:spt="202" type="#_x0000_t202" style="position:absolute;left:0pt;margin-top:0pt;height:10.85pt;width:5.05pt;mso-position-horizontal:center;mso-position-horizontal-relative:margin;mso-wrap-style:none;z-index:251659264;mso-width-relative:page;mso-height-relative:page;" filled="f" stroked="f" coordsize="21600,21600" o:gfxdata="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Cw+pHdEAAAAD&#10;AQAADwAAAAAAAAABACAAAAAiAAAAZHJzL2Rvd25yZXYueG1sUEsBAhQAFAAAAAgAh07iQKR6DF3q&#10;AQAAxAMAAA4AAAAAAAAAAQAgAAAAIAEAAGRycy9lMm9Eb2MueG1sUEsFBgAAAAAGAAYAWQEAAHwF&#10;AAAAAA==&#10;">
              <v:fill on="f" focussize="0,0"/>
              <v:stroke on="f" weight="0.5pt"/>
              <v:imagedata o:title=""/>
              <o:lock v:ext="edit" aspectratio="f"/>
              <v:textbox inset="0mm,0mm,0mm,0mm" style="mso-fit-shape-to-text:t;">
                <w:txbxContent>
                  <w:p w14:paraId="35E9A215">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FjYjZmNDc4YmFlNWIzMmFjMDBmMGY3Y2E2NmVjOWQifQ=="/>
  </w:docVars>
  <w:rsids>
    <w:rsidRoot w:val="7F6F45ED"/>
    <w:rsid w:val="00FD1912"/>
    <w:rsid w:val="01A42A13"/>
    <w:rsid w:val="02F54FC6"/>
    <w:rsid w:val="117D20E9"/>
    <w:rsid w:val="1A493972"/>
    <w:rsid w:val="2FBA2E1F"/>
    <w:rsid w:val="467A41F8"/>
    <w:rsid w:val="49127490"/>
    <w:rsid w:val="51A56097"/>
    <w:rsid w:val="54E4607F"/>
    <w:rsid w:val="5BF33624"/>
    <w:rsid w:val="6193003A"/>
    <w:rsid w:val="662D5A56"/>
    <w:rsid w:val="6927F492"/>
    <w:rsid w:val="7BFDF88C"/>
    <w:rsid w:val="7F6F45ED"/>
    <w:rsid w:val="7FF9B905"/>
    <w:rsid w:val="BF576142"/>
    <w:rsid w:val="D5B5AB19"/>
    <w:rsid w:val="DFEF9E0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Style w:val="7"/>
      <w:tblCellMar>
        <w:top w:w="0" w:type="dxa"/>
        <w:left w:w="108" w:type="dxa"/>
        <w:bottom w:w="0" w:type="dxa"/>
        <w:right w:w="108" w:type="dxa"/>
      </w:tblCellMar>
    </w:tblPr>
  </w:style>
  <w:style w:type="paragraph" w:styleId="2">
    <w:name w:val="Body Text"/>
    <w:basedOn w:val="1"/>
    <w:next w:val="3"/>
    <w:qFormat/>
    <w:uiPriority w:val="0"/>
    <w:rPr>
      <w:rFonts w:ascii="华文新魏" w:eastAsia="华文新魏"/>
      <w:sz w:val="36"/>
    </w:rPr>
  </w:style>
  <w:style w:type="paragraph" w:styleId="3">
    <w:name w:val="Title"/>
    <w:basedOn w:val="1"/>
    <w:next w:val="1"/>
    <w:qFormat/>
    <w:uiPriority w:val="10"/>
    <w:pPr>
      <w:spacing w:before="240" w:after="60"/>
      <w:jc w:val="center"/>
      <w:outlineLvl w:val="0"/>
    </w:pPr>
    <w:rPr>
      <w:rFonts w:ascii="Calibri Light" w:hAnsi="Calibri Light"/>
      <w:b/>
      <w:bCs/>
      <w:szCs w:val="32"/>
    </w:rPr>
  </w:style>
  <w:style w:type="paragraph" w:styleId="4">
    <w:name w:val="Normal Indent"/>
    <w:basedOn w:val="1"/>
    <w:qFormat/>
    <w:uiPriority w:val="0"/>
    <w:pPr>
      <w:spacing w:before="156" w:beforeLines="50" w:line="360" w:lineRule="auto"/>
      <w:ind w:firstLine="510"/>
    </w:pPr>
    <w:rPr>
      <w:szCs w:val="20"/>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DejaVu Sans" w:hAnsi="DejaVu Sans"/>
      <w:sz w:val="18"/>
    </w:rPr>
  </w:style>
  <w:style w:type="paragraph" w:customStyle="1" w:styleId="9">
    <w:name w:val="总标题"/>
    <w:basedOn w:val="1"/>
    <w:qFormat/>
    <w:uiPriority w:val="0"/>
    <w:pPr>
      <w:spacing w:line="560" w:lineRule="exact"/>
      <w:jc w:val="center"/>
    </w:pPr>
    <w:rPr>
      <w:rFonts w:ascii="Calibri" w:hAnsi="Calibri" w:eastAsia="方正小标宋简体"/>
      <w:sz w:val="44"/>
    </w:rPr>
  </w:style>
  <w:style w:type="paragraph" w:customStyle="1" w:styleId="10">
    <w:name w:val="小标题"/>
    <w:basedOn w:val="1"/>
    <w:qFormat/>
    <w:uiPriority w:val="0"/>
    <w:pPr>
      <w:spacing w:line="560" w:lineRule="exact"/>
      <w:ind w:left="105" w:leftChars="50"/>
      <w:jc w:val="center"/>
    </w:pPr>
    <w:rPr>
      <w:rFonts w:ascii="楷体_GB2312" w:hAnsi="楷体_GB2312" w:eastAsia="楷体_GB2312"/>
      <w:sz w:val="32"/>
    </w:rPr>
  </w:style>
  <w:style w:type="paragraph" w:customStyle="1" w:styleId="11">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2199</Words>
  <Characters>2421</Characters>
  <Lines>0</Lines>
  <Paragraphs>0</Paragraphs>
  <TotalTime>2</TotalTime>
  <ScaleCrop>false</ScaleCrop>
  <LinksUpToDate>false</LinksUpToDate>
  <CharactersWithSpaces>2507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2022-07-29T22:36:00Z</dcterms:created>
  <dc:creator>陈鹤中</dc:creator>
  <cp:lastModifiedBy>WPS_1690420078</cp:lastModifiedBy>
  <dcterms:modified xsi:type="dcterms:W3CDTF">2026-02-06T02:23:44Z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64908377E01745AE80F9E4C7D0A9AE27_13</vt:lpwstr>
  </property>
  <property fmtid="{D5CDD505-2E9C-101B-9397-08002B2CF9AE}" pid="4" name="KSOTemplateDocerSaveRecord">
    <vt:lpwstr>eyJoZGlkIjoiNmMyMDk4M2VmMTM5MjVmMWY2ZjczYjM1NmFiNjlkY2YiLCJ1c2VySWQiOiIxNTE3MTI3MTQ0In0=</vt:lpwstr>
  </property>
</Properties>
</file>